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华北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内蒙古统一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5FF2F67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DFEA3AF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1B873F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D7FF5E0D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2025-04-09T08:59:59Z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