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20" w:firstLineChars="20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bookmarkStart w:id="0" w:name="OLE_LINK19"/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河南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统一企业</w:t>
      </w:r>
      <w:bookmarkStart w:id="1" w:name="OLE_LINK18"/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有限公</w:t>
      </w:r>
      <w:bookmarkEnd w:id="1"/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司针对</w:t>
      </w:r>
      <w:bookmarkEnd w:id="0"/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</w:rPr>
        <w:t>2024年废面外卖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服务项目招标，公开征集符合如下要求的服务商伙伴：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bookmarkStart w:id="2" w:name="OLE_LINK23"/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420" w:leftChars="200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</w:pPr>
      <w:bookmarkStart w:id="3" w:name="OLE_LINK1"/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合同</w:t>
      </w:r>
      <w:bookmarkStart w:id="4" w:name="OLE_LINK16"/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时间</w:t>
      </w:r>
      <w:bookmarkEnd w:id="3"/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：</w:t>
      </w:r>
      <w:bookmarkStart w:id="5" w:name="OLE_LINK17"/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20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日至20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日（以实际签订时间为准）</w:t>
      </w:r>
      <w:bookmarkEnd w:id="5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420" w:leftChars="200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项</w:t>
      </w:r>
      <w:bookmarkStart w:id="6" w:name="OLE_LINK15"/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目</w:t>
      </w:r>
      <w:bookmarkEnd w:id="6"/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地点：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河南省漯河市河南统一企业有限公司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420" w:leftChars="200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bookmarkStart w:id="7" w:name="OLE_LINK14"/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项目</w:t>
      </w:r>
      <w:bookmarkEnd w:id="4"/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说明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：</w:t>
      </w:r>
    </w:p>
    <w:bookmarkEnd w:id="7"/>
    <w:tbl>
      <w:tblPr>
        <w:tblStyle w:val="13"/>
        <w:tblW w:w="10098" w:type="dxa"/>
        <w:tblInd w:w="4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012"/>
        <w:gridCol w:w="78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3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8" w:name="OLE_LINK13" w:colFirst="2" w:colLast="2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干米面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元/吨</w:t>
            </w:r>
          </w:p>
        </w:tc>
        <w:tc>
          <w:tcPr>
            <w:tcW w:w="7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①</w:t>
            </w:r>
            <w:bookmarkStart w:id="9" w:name="OLE_LINK10"/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方面便生产过程中产生的</w:t>
            </w:r>
            <w:bookmarkEnd w:id="9"/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干废碎面（经过油炸）；②</w:t>
            </w:r>
            <w:r>
              <w:rPr>
                <w:rStyle w:val="25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拆解报废的成品方便面；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湿米面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元/吨</w:t>
            </w:r>
          </w:p>
        </w:tc>
        <w:tc>
          <w:tcPr>
            <w:tcW w:w="7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①方便面生产过程中产生的湿废碎面（未经过油炸）或油炸过程中的产生的焦糊面；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24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10" w:name="OLE_LINK11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落地料</w:t>
            </w:r>
            <w:bookmarkEnd w:id="10"/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元/吨</w:t>
            </w:r>
          </w:p>
        </w:tc>
        <w:tc>
          <w:tcPr>
            <w:tcW w:w="7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①散落在地上或报废的面粉；②散落在地上或者报废的脱水蔬菜；③</w:t>
            </w:r>
            <w:r>
              <w:rPr>
                <w:rStyle w:val="25"/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 w:bidi="ar"/>
              </w:rPr>
              <w:t>前述类别均为干粉状态，不含废塑料、棉绳之类的杂物；</w:t>
            </w:r>
          </w:p>
        </w:tc>
      </w:tr>
      <w:bookmarkEnd w:id="8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1" w:name="OLE_LINK12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废辣椒渣</w:t>
            </w:r>
            <w:bookmarkEnd w:id="11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元/吨</w:t>
            </w:r>
          </w:p>
        </w:tc>
        <w:tc>
          <w:tcPr>
            <w:tcW w:w="7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方面便生产过程中产生的废辣椒渣、蒜渣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420" w:left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保证金缴纳：投标保证金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万元；履约保证金依中标金额5%缴纳（上限10万元），具体以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说明书为准。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eastAsia="zh-CN"/>
        </w:rPr>
      </w:pPr>
      <w:bookmarkStart w:id="12" w:name="OLE_LINK21"/>
      <w:bookmarkStart w:id="13" w:name="OLE_LINK22"/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2.1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有效的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营业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执照且：</w:t>
      </w:r>
    </w:p>
    <w:bookmarkEnd w:id="12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A：加工企业：饲料加工/生产相关的经营范围，且具备饲料生产许可证，同时具备饲料加工/生产相关的经营范围年限≥1年；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B：养殖企业：禽畜养殖相关的经营范围，且具备禽畜养殖相关的经营范围年限≥1年；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C：回收企业：与上述加工企业/养殖企业签订供货协议书；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 xml:space="preserve">具备上述三项条件之一即可报名参与竞标。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2.2公司成立时间在1年以上（含）。</w:t>
      </w:r>
    </w:p>
    <w:bookmarkEnd w:id="2"/>
    <w:bookmarkEnd w:id="13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3、报</w:t>
      </w:r>
      <w:bookmarkStart w:id="14" w:name="OLE_LINK20"/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名方</w:t>
      </w:r>
      <w:bookmarkEnd w:id="14"/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1"/>
          <w:szCs w:val="21"/>
          <w:highlight w:val="yellow"/>
        </w:rPr>
      </w:pPr>
      <w:bookmarkStart w:id="22" w:name="_GoBack"/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1"/>
          <w:szCs w:val="21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highlight w:val="yellow"/>
        </w:rPr>
        <w:t>日17时止；</w:t>
      </w:r>
    </w:p>
    <w:bookmarkEnd w:id="22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424" w:leftChars="201" w:hanging="2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424" w:leftChars="201" w:hanging="2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  <w:u w:val="single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424" w:leftChars="201" w:hanging="2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C、响应高效、绿色办公理念，可以配合我司推行E签宝电子合同签订工作。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849" w:leftChars="200" w:hanging="429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  <w:u w:val="single"/>
        </w:rPr>
        <w:t>审计管理部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424" w:leftChars="201" w:hanging="2"/>
        <w:jc w:val="left"/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B、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  <w:u w:val="single"/>
        </w:rPr>
        <w:t>审计管理部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  <w:t>。</w:t>
      </w: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 w:val="0"/>
          <w:bCs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</w:t>
      </w:r>
      <w:bookmarkStart w:id="15" w:name="OLE_LINK3"/>
      <w:r>
        <w:rPr>
          <w:rFonts w:hint="eastAsia" w:ascii="宋体" w:hAnsi="宋体"/>
          <w:bCs/>
          <w:sz w:val="20"/>
          <w:szCs w:val="24"/>
        </w:rPr>
        <w:t>进项</w:t>
      </w:r>
      <w:bookmarkEnd w:id="15"/>
      <w:r>
        <w:rPr>
          <w:rFonts w:hint="eastAsia" w:ascii="宋体" w:hAnsi="宋体"/>
          <w:bCs/>
          <w:sz w:val="20"/>
          <w:szCs w:val="24"/>
        </w:rPr>
        <w:t>目：</w:t>
      </w:r>
      <w:bookmarkStart w:id="16" w:name="OLE_LINK9"/>
      <w:r>
        <w:rPr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 w:val="0"/>
          <w:bCs/>
          <w:sz w:val="20"/>
          <w:szCs w:val="24"/>
          <w:u w:val="single"/>
          <w:lang w:val="en-US" w:eastAsia="zh-CN"/>
        </w:rPr>
        <w:t>河南</w:t>
      </w:r>
      <w:r>
        <w:rPr>
          <w:rFonts w:hint="eastAsia" w:ascii="宋体" w:hAnsi="宋体"/>
          <w:b w:val="0"/>
          <w:bCs/>
          <w:sz w:val="20"/>
          <w:szCs w:val="24"/>
          <w:u w:val="single"/>
        </w:rPr>
        <w:t>统一</w:t>
      </w:r>
      <w:bookmarkStart w:id="17" w:name="OLE_LINK4"/>
      <w:r>
        <w:rPr>
          <w:rFonts w:hint="eastAsia" w:ascii="宋体" w:hAnsi="宋体"/>
          <w:b w:val="0"/>
          <w:bCs/>
          <w:sz w:val="20"/>
          <w:szCs w:val="24"/>
          <w:u w:val="single"/>
        </w:rPr>
        <w:t>20</w:t>
      </w:r>
      <w:bookmarkEnd w:id="17"/>
      <w:r>
        <w:rPr>
          <w:rFonts w:hint="eastAsia" w:ascii="宋体" w:hAnsi="宋体"/>
          <w:b w:val="0"/>
          <w:bCs/>
          <w:sz w:val="20"/>
          <w:szCs w:val="24"/>
          <w:u w:val="single"/>
          <w:lang w:val="en-US" w:eastAsia="zh-CN"/>
        </w:rPr>
        <w:t>24-2025</w:t>
      </w:r>
      <w:r>
        <w:rPr>
          <w:rFonts w:hint="eastAsia" w:ascii="宋体" w:hAnsi="宋体"/>
          <w:b w:val="0"/>
          <w:bCs/>
          <w:sz w:val="20"/>
          <w:szCs w:val="24"/>
          <w:u w:val="single"/>
        </w:rPr>
        <w:t>年度</w:t>
      </w:r>
      <w:bookmarkStart w:id="18" w:name="OLE_LINK5"/>
      <w:bookmarkStart w:id="19" w:name="OLE_LINK6"/>
      <w:r>
        <w:rPr>
          <w:rFonts w:hint="eastAsia" w:ascii="宋体" w:hAnsi="宋体"/>
          <w:b w:val="0"/>
          <w:bCs/>
          <w:sz w:val="20"/>
          <w:szCs w:val="24"/>
          <w:u w:val="single"/>
        </w:rPr>
        <w:t>废</w:t>
      </w:r>
      <w:bookmarkEnd w:id="18"/>
      <w:r>
        <w:rPr>
          <w:rFonts w:hint="eastAsia" w:ascii="宋体" w:hAnsi="宋体"/>
          <w:b w:val="0"/>
          <w:bCs/>
          <w:sz w:val="20"/>
          <w:szCs w:val="24"/>
          <w:u w:val="single"/>
        </w:rPr>
        <w:t>面</w:t>
      </w:r>
      <w:bookmarkEnd w:id="19"/>
      <w:r>
        <w:rPr>
          <w:rFonts w:hint="eastAsia" w:ascii="宋体" w:hAnsi="宋体"/>
          <w:b w:val="0"/>
          <w:bCs/>
          <w:sz w:val="20"/>
          <w:szCs w:val="24"/>
          <w:u w:val="single"/>
        </w:rPr>
        <w:t>类服务</w:t>
      </w:r>
      <w:r>
        <w:rPr>
          <w:rFonts w:hint="eastAsia" w:ascii="宋体" w:hAnsi="宋体"/>
          <w:b w:val="0"/>
          <w:bCs/>
          <w:sz w:val="20"/>
          <w:szCs w:val="24"/>
          <w:u w:val="single"/>
          <w:lang w:val="en-US" w:eastAsia="zh-CN"/>
        </w:rPr>
        <w:t>项目</w:t>
      </w:r>
      <w:r>
        <w:rPr>
          <w:rFonts w:hint="eastAsia" w:ascii="宋体" w:hAnsi="宋体"/>
          <w:b w:val="0"/>
          <w:bCs/>
          <w:sz w:val="20"/>
          <w:szCs w:val="24"/>
          <w:u w:val="single"/>
        </w:rPr>
        <w:t xml:space="preserve">  </w:t>
      </w:r>
    </w:p>
    <w:bookmarkEnd w:id="16"/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身份证号码：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  <w:lang w:val="en-US" w:eastAsia="zh-CN"/>
        </w:rPr>
        <w:t>河南</w:t>
      </w:r>
      <w:r>
        <w:rPr>
          <w:rFonts w:hint="eastAsia"/>
          <w:b/>
          <w:bCs/>
          <w:sz w:val="28"/>
          <w:u w:val="single"/>
        </w:rPr>
        <w:t>统一企业有</w:t>
      </w:r>
      <w:bookmarkStart w:id="20" w:name="OLE_LINK7"/>
      <w:r>
        <w:rPr>
          <w:rFonts w:hint="eastAsia"/>
          <w:b/>
          <w:bCs/>
          <w:sz w:val="28"/>
          <w:u w:val="single"/>
        </w:rPr>
        <w:t>限</w:t>
      </w:r>
      <w:bookmarkEnd w:id="20"/>
      <w:r>
        <w:rPr>
          <w:rFonts w:hint="eastAsia"/>
          <w:b/>
          <w:bCs/>
          <w:sz w:val="28"/>
          <w:u w:val="single"/>
        </w:rPr>
        <w:t>公司2024-2025年度废面</w:t>
      </w:r>
      <w:r>
        <w:rPr>
          <w:rFonts w:hint="eastAsia"/>
          <w:b/>
          <w:bCs/>
          <w:sz w:val="28"/>
          <w:u w:val="single"/>
          <w:lang w:val="en-US" w:eastAsia="zh-CN"/>
        </w:rPr>
        <w:t>类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bookmarkStart w:id="21" w:name="OLE_LINK8"/>
      <w:r>
        <w:rPr>
          <w:rFonts w:hint="eastAsia"/>
          <w:sz w:val="28"/>
        </w:rPr>
        <w:t>受</w:t>
      </w:r>
      <w:bookmarkEnd w:id="21"/>
      <w:r>
        <w:rPr>
          <w:rFonts w:hint="eastAsia"/>
          <w:sz w:val="28"/>
        </w:rPr>
        <w:t>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河南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2D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224F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18A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D45A6F"/>
    <w:rsid w:val="07B9787B"/>
    <w:rsid w:val="07C95455"/>
    <w:rsid w:val="081F3529"/>
    <w:rsid w:val="0E2C6D2A"/>
    <w:rsid w:val="0FDD7B92"/>
    <w:rsid w:val="1AD93696"/>
    <w:rsid w:val="2A3E3553"/>
    <w:rsid w:val="2BFD749A"/>
    <w:rsid w:val="2D0B6272"/>
    <w:rsid w:val="2DDB5A65"/>
    <w:rsid w:val="2F0C11B3"/>
    <w:rsid w:val="3349F8F3"/>
    <w:rsid w:val="33DD4BBE"/>
    <w:rsid w:val="3B15588C"/>
    <w:rsid w:val="4B6A52F9"/>
    <w:rsid w:val="5438153A"/>
    <w:rsid w:val="553304D8"/>
    <w:rsid w:val="600849ED"/>
    <w:rsid w:val="613F1997"/>
    <w:rsid w:val="77ABDA51"/>
    <w:rsid w:val="7FB8763B"/>
    <w:rsid w:val="D79F3BF3"/>
    <w:rsid w:val="DBEFF3C8"/>
    <w:rsid w:val="EB63A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20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1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FollowedHyperlink"/>
    <w:basedOn w:val="14"/>
    <w:semiHidden/>
    <w:unhideWhenUsed/>
    <w:qFormat/>
    <w:uiPriority w:val="0"/>
    <w:rPr>
      <w:rFonts w:ascii="微软雅黑" w:hAnsi="微软雅黑" w:eastAsia="微软雅黑" w:cs="微软雅黑"/>
      <w:color w:val="333333"/>
      <w:sz w:val="14"/>
      <w:szCs w:val="14"/>
      <w:u w:val="none"/>
    </w:rPr>
  </w:style>
  <w:style w:type="character" w:styleId="17">
    <w:name w:val="Hyperlink"/>
    <w:basedOn w:val="14"/>
    <w:qFormat/>
    <w:uiPriority w:val="0"/>
    <w:rPr>
      <w:color w:val="333333"/>
      <w:u w:val="none"/>
    </w:rPr>
  </w:style>
  <w:style w:type="character" w:styleId="18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1">
    <w:name w:val="批注主题 字符"/>
    <w:basedOn w:val="20"/>
    <w:link w:val="12"/>
    <w:semiHidden/>
    <w:qFormat/>
    <w:uiPriority w:val="0"/>
    <w:rPr>
      <w:b/>
      <w:bCs/>
      <w:kern w:val="2"/>
      <w:sz w:val="21"/>
    </w:rPr>
  </w:style>
  <w:style w:type="character" w:customStyle="1" w:styleId="22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3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4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5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6">
    <w:name w:val="fontstyle01"/>
    <w:basedOn w:val="14"/>
    <w:qFormat/>
    <w:uiPriority w:val="0"/>
    <w:rPr>
      <w:rFonts w:ascii="宋体" w:hAnsi="宋体" w:eastAsia="宋体" w:cs="宋体"/>
      <w:color w:val="000000"/>
      <w:sz w:val="28"/>
      <w:szCs w:val="28"/>
    </w:rPr>
  </w:style>
  <w:style w:type="character" w:customStyle="1" w:styleId="27">
    <w:name w:val="hover16"/>
    <w:basedOn w:val="14"/>
    <w:qFormat/>
    <w:uiPriority w:val="0"/>
    <w:rPr>
      <w:color w:val="1A85D7"/>
    </w:rPr>
  </w:style>
  <w:style w:type="character" w:customStyle="1" w:styleId="28">
    <w:name w:val="hover17"/>
    <w:basedOn w:val="14"/>
    <w:qFormat/>
    <w:uiPriority w:val="0"/>
    <w:rPr>
      <w:b/>
      <w:bCs/>
      <w:color w:val="C85F10"/>
    </w:rPr>
  </w:style>
  <w:style w:type="character" w:customStyle="1" w:styleId="29">
    <w:name w:val="hover"/>
    <w:basedOn w:val="14"/>
    <w:qFormat/>
    <w:uiPriority w:val="0"/>
    <w:rPr>
      <w:b/>
      <w:bCs/>
      <w:color w:val="C85F10"/>
    </w:rPr>
  </w:style>
  <w:style w:type="character" w:customStyle="1" w:styleId="30">
    <w:name w:val="hover1"/>
    <w:basedOn w:val="14"/>
    <w:qFormat/>
    <w:uiPriority w:val="0"/>
    <w:rPr>
      <w:color w:val="1A85D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1</Pages>
  <Words>238</Words>
  <Characters>1361</Characters>
  <Lines>11</Lines>
  <Paragraphs>3</Paragraphs>
  <TotalTime>0</TotalTime>
  <ScaleCrop>false</ScaleCrop>
  <LinksUpToDate>false</LinksUpToDate>
  <CharactersWithSpaces>1596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2024-08-08T11:00:00Z</dcterms:created>
  <dc:creator>grdpec</dc:creator>
  <cp:keywords>标准</cp:keywords>
  <cp:lastModifiedBy>管明明明</cp:lastModifiedBy>
  <cp:lastPrinted>2017-11-15T01:02:00Z</cp:lastPrinted>
  <dcterms:modified xsi:type="dcterms:W3CDTF">2024-09-13T08:49:50Z</dcterms:modified>
  <dc:subject>昆山研究所标准书模板</dc:subject>
  <dc:title>stdbook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