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招标信息公告（东北区）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统一集团针对</w:t>
      </w:r>
      <w:r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202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年全国各子公司下脚品外卖服务项目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招标，公开征集符合如下要求的服务商伙伴，具体内容如下：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firstLine="141" w:firstLineChars="5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1.1合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6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月01日至202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5月31日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（以实际签订时间为准）</w:t>
      </w:r>
    </w:p>
    <w:p>
      <w:pPr>
        <w:widowControl/>
        <w:shd w:val="clear" w:color="auto" w:fill="FFFFFF"/>
        <w:ind w:firstLine="141" w:firstLineChars="5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1.2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项目地点及项目分类说明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：</w:t>
      </w:r>
    </w:p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（1）一般类：</w:t>
      </w:r>
    </w:p>
    <w:p>
      <w:pPr>
        <w:widowControl/>
        <w:shd w:val="clear" w:color="auto" w:fill="FFFFFF"/>
        <w:ind w:left="708" w:leftChars="337"/>
        <w:jc w:val="left"/>
        <w:rPr>
          <w:rFonts w:ascii="微软雅黑" w:hAnsi="微软雅黑" w:eastAsia="微软雅黑" w:cs="Arial"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东北区：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沈阳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、哈尔滨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、长春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、长白山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；</w:t>
      </w:r>
    </w:p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（2）废面类涉及子公司：</w:t>
      </w:r>
    </w:p>
    <w:p>
      <w:pPr>
        <w:widowControl/>
        <w:shd w:val="clear" w:color="auto" w:fill="FFFFFF"/>
        <w:ind w:left="708" w:leftChars="337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东北区：</w:t>
      </w:r>
      <w:r>
        <w:rPr>
          <w:rFonts w:hint="eastAsia" w:ascii="微软雅黑" w:hAnsi="微软雅黑" w:eastAsia="微软雅黑"/>
          <w:sz w:val="24"/>
        </w:rPr>
        <w:t>沈阳</w:t>
      </w:r>
      <w:r>
        <w:rPr>
          <w:rFonts w:hint="eastAsia" w:ascii="微软雅黑" w:hAnsi="微软雅黑" w:eastAsia="微软雅黑"/>
          <w:sz w:val="24"/>
          <w:lang w:val="en-US" w:eastAsia="zh-CN"/>
        </w:rPr>
        <w:t>统一</w:t>
      </w:r>
      <w:r>
        <w:rPr>
          <w:rFonts w:hint="eastAsia" w:ascii="微软雅黑" w:hAnsi="微软雅黑" w:eastAsia="微软雅黑"/>
          <w:sz w:val="24"/>
        </w:rPr>
        <w:t>、哈尔滨</w:t>
      </w:r>
      <w:r>
        <w:rPr>
          <w:rFonts w:hint="eastAsia" w:ascii="微软雅黑" w:hAnsi="微软雅黑" w:eastAsia="微软雅黑"/>
          <w:sz w:val="24"/>
          <w:lang w:val="en-US" w:eastAsia="zh-CN"/>
        </w:rPr>
        <w:t>统一</w:t>
      </w:r>
      <w:r>
        <w:rPr>
          <w:rFonts w:hint="eastAsia" w:ascii="微软雅黑" w:hAnsi="微软雅黑" w:eastAsia="微软雅黑"/>
          <w:sz w:val="24"/>
        </w:rPr>
        <w:t>；</w:t>
      </w:r>
    </w:p>
    <w:p>
      <w:pPr>
        <w:widowControl/>
        <w:shd w:val="clear" w:color="auto" w:fill="FFFFFF"/>
        <w:ind w:left="710" w:leftChars="68" w:hanging="567" w:hangingChars="236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）项目分类说明：</w:t>
      </w:r>
    </w:p>
    <w:tbl>
      <w:tblPr>
        <w:tblStyle w:val="13"/>
        <w:tblW w:w="10679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"/>
        <w:gridCol w:w="427"/>
        <w:gridCol w:w="1612"/>
        <w:gridCol w:w="775"/>
        <w:gridCol w:w="7513"/>
      </w:tblGrid>
      <w:tr>
        <w:trPr>
          <w:trHeight w:val="220" w:hRule="atLeast"/>
        </w:trPr>
        <w:tc>
          <w:tcPr>
            <w:tcW w:w="7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9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修订前</w:t>
            </w:r>
          </w:p>
        </w:tc>
      </w:tr>
      <w:tr>
        <w:trPr>
          <w:trHeight w:val="434" w:hRule="atLeast"/>
        </w:trPr>
        <w:tc>
          <w:tcPr>
            <w:tcW w:w="7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计价单位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定义</w:t>
            </w:r>
          </w:p>
        </w:tc>
      </w:tr>
      <w:tr>
        <w:trPr>
          <w:trHeight w:val="22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一般类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废纸类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瓶盖纸箱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完好的瓶盖纸箱（依各区域的招标说明会及各厂报价单中规格为准）</w:t>
            </w:r>
          </w:p>
        </w:tc>
      </w:tr>
      <w:tr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纸碗纸箱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完好的纸碗纸箱（依各区域的招标说明会及各厂报价单中规格为准）</w:t>
            </w:r>
          </w:p>
        </w:tc>
      </w:tr>
      <w:tr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PP碗纸箱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完好的PP碗纸箱（依各区域的招标说明会及各厂报价单中规格为准）</w:t>
            </w:r>
          </w:p>
        </w:tc>
      </w:tr>
      <w:tr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标签纸箱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完好的标签纸箱（依各区域的招标说明会及各厂报价单中规格为准）</w:t>
            </w:r>
          </w:p>
        </w:tc>
      </w:tr>
      <w:tr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废纸板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除按个售卖的瓶盖、纸碗、PP碗、标签纸箱外的其他纸箱（含破损的按个售卖纸箱）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硬纸板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包装类卷芯、原料纸筒、缠绕膜卷芯、设备包装硬纸板等其他与前述材质一致的硬纸板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其他废纸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①方便面废白纸桶、彩色纸桶等其他与前述材质一致的淋膜纸；②粉碎后的报表纸；③报废的书籍；④废旧快递信封；⑤与前述类似的其他废纸；⑥不干胶标签底纸。</w:t>
            </w:r>
          </w:p>
        </w:tc>
      </w:tr>
      <w:tr>
        <w:trPr>
          <w:trHeight w:val="253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编织袋类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白糖编织口袋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完好的白糖编织口袋（四围和底部未划破，袋子未污染，含PE内袋）</w:t>
            </w:r>
          </w:p>
        </w:tc>
      </w:tr>
      <w:tr>
        <w:trPr>
          <w:trHeight w:val="253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粉类编织口袋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完好的淀粉或面粉编织口袋（四围和底部未划破，袋子未污染）</w:t>
            </w:r>
          </w:p>
        </w:tc>
      </w:tr>
      <w:tr>
        <w:trPr>
          <w:trHeight w:val="253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聚脂切片口袋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完好的聚酯口袋（四围和底部未划破，袋子未污染，不含PE内袋）</w:t>
            </w:r>
          </w:p>
        </w:tc>
      </w:tr>
      <w:tr>
        <w:trPr>
          <w:trHeight w:val="253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大米编织口袋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完好米袋（四围和底部未划破，袋子未污染）（仅金山厂）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废塑料类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PET白料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无色PET瓶胚、无色PET空瓶、饮料成品报废后的无色PET空瓶（此部分瓶颈上带有非PET材质瓶盖环）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PET有色料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有色PET瓶胚、有色PET空瓶、饮料成品报废后的有色PET空瓶（此部分瓶颈上带有非PET材质瓶盖环）</w:t>
            </w:r>
          </w:p>
        </w:tc>
      </w:tr>
      <w:tr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开机废料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瓶胚及瓶盖开机时的废料（含有色、无色、杂色）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PP、PE料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①冷藏线PP杯；②饮料瓶盖；③饮料报废拎扣；④月饼托盒、托底；⑤其他与前述材质一致的PP、PE料。</w:t>
            </w:r>
          </w:p>
        </w:tc>
      </w:tr>
      <w:tr>
        <w:trPr>
          <w:trHeight w:val="648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废塑料膜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PE塑料膜、PE塑料袋、食品原物料塑料内袋（不含被液体、半固体污染的内袋）、饮料原物料塑料内袋（不含被液体、半固体污染的内袋）、废塑料膜（含收缩膜、缠绕膜）等其他与前述材质一致的塑料膜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塑料桶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食品添加剂桶、醋桶、酱油桶、香精桶、咖啡桶、食用酒精桶等其他与前述材质一致的塑料桶（不含危废类空桶）</w:t>
            </w:r>
          </w:p>
        </w:tc>
      </w:tr>
      <w:tr>
        <w:trPr>
          <w:trHeight w:val="648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废保利纸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6"/>
                <w:rFonts w:hint="eastAsia" w:ascii="微软雅黑" w:hAnsi="微软雅黑" w:eastAsia="微软雅黑" w:cs="微软雅黑"/>
                <w:sz w:val="20"/>
                <w:szCs w:val="20"/>
                <w:lang w:val="en-US" w:eastAsia="zh-CN" w:bidi="ar"/>
              </w:rPr>
              <w:t>①废保丽纸（含成品报废后的保利纸包装袋）；②废标签纸（含成品报废后的标签纸）；③碗盖、桶盖（含直接报废的碗盖、桶盖）；</w:t>
            </w:r>
            <w:r>
              <w:rPr>
                <w:rStyle w:val="27"/>
                <w:rFonts w:hint="eastAsia" w:ascii="微软雅黑" w:hAnsi="微软雅黑" w:eastAsia="微软雅黑" w:cs="微软雅黑"/>
                <w:sz w:val="20"/>
                <w:szCs w:val="20"/>
                <w:lang w:val="en-US" w:eastAsia="zh-CN" w:bidi="ar"/>
              </w:rPr>
              <w:t>④料包薄膜（不含粉、料类、酱的空料包膜）；⑤其他与前述材质一致的废保利纸；</w:t>
            </w:r>
          </w:p>
        </w:tc>
      </w:tr>
      <w:tr>
        <w:trPr>
          <w:trHeight w:val="862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杂塑料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PP管、PPR管、橡胶管、高压管等各种报废的塑料管；②纸箱外面的打包带；③破损、污染的编织袋；④沾染液体原料的各种塑料袋（如：果汁内袋、葡萄糖浆内袋、椰子油内袋等）；⑤色拉油桶；⑥泡沫箱、泡沫板、广告KT板等；⑦盐袋、味精袋；⑧其他与前述描述材质一致的其他塑料制品；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废橡胶类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①废旧轮胎（含空心、实心叉车轮胎、汽车轮胎）；②其他与前述描述材质一致的其他塑料制品；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废金属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废生熟铁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①报废的铁质零件；②报废的大小铁罐（含TC罐等）；③报废的各种铁质材料边角料；④报废的铁质设备或资产；⑤与前述相近的其他生熟铁料；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废不锈钢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①报废的不锈钢材质零件；②废不锈钢边角料（含201、304、316）；③报废的不锈钢质设备或资产；④与前述相近的其他不锈钢；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废铝及铝合金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①废铝合金零件；②报废的AC罐；③废铝芯电缆线（含外皮）；④报废的铝合金材质设备或资产；⑤报废铝罐、盖（NBC);⑥与前述相近的其他废铝或铝合金；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废铜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①报废的铜质零件（如：铜梳、铜刮、铜套等）及设备；②空调等制冷设备报废的铜管；③报废的铜芯电缆线（含外皮）；④电机铜线圈；</w:t>
            </w:r>
          </w:p>
        </w:tc>
      </w:tr>
      <w:tr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废铁桶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完整空桶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成套果汁原浆空铁桶（L）、大豆油空铁桶、番茄汁空铁桶等与前述类似的其他空桶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有损空桶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缺盖、硬伤型变形或破损原浆桶、大豆油空铁桶、番茄汁空铁桶等与前述类似的其他空桶</w:t>
            </w:r>
          </w:p>
        </w:tc>
      </w:tr>
      <w:tr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废活性炭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废活性炭（非危废品）</w:t>
            </w:r>
          </w:p>
        </w:tc>
      </w:tr>
      <w:tr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废塑料栈板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报废的塑料栈板（公司所有部门）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废板材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报废木栈板、设备木箱、层板、破损家具板材、刨花板、颗粒板、竹胶板、木质包装箱等其他材质为木质的板材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其他包装袋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内附锡箔纸口袋、热熔胶袋、植脂末口袋、品保原物料内袋、奶粉袋等于前述材质一致的包装袋；</w:t>
            </w:r>
          </w:p>
        </w:tc>
      </w:tr>
      <w:tr>
        <w:trPr>
          <w:trHeight w:val="648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废面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废面类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干米面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6"/>
                <w:rFonts w:hint="eastAsia" w:ascii="微软雅黑" w:hAnsi="微软雅黑" w:eastAsia="微软雅黑" w:cs="微软雅黑"/>
                <w:sz w:val="20"/>
                <w:szCs w:val="20"/>
                <w:lang w:val="en-US" w:eastAsia="zh-CN" w:bidi="ar"/>
              </w:rPr>
              <w:t>①方面便生产过程中产生的干废碎面（经过油炸）；②产生的报废米及米粉（非油炸，仅金山厂）；</w:t>
            </w:r>
            <w:r>
              <w:rPr>
                <w:rStyle w:val="27"/>
                <w:rFonts w:hint="eastAsia" w:ascii="微软雅黑" w:hAnsi="微软雅黑" w:eastAsia="微软雅黑" w:cs="微软雅黑"/>
                <w:sz w:val="20"/>
                <w:szCs w:val="20"/>
                <w:lang w:val="en-US" w:eastAsia="zh-CN" w:bidi="ar"/>
              </w:rPr>
              <w:t>③拆解报废的成品方便面；④混沌生产过程中产生的干面皮（仅杭州厂、昆山厂）及非油炸面生产过程中产生的废面或废面皮（仅合肥厂） ；</w:t>
            </w:r>
          </w:p>
        </w:tc>
      </w:tr>
      <w:tr>
        <w:trPr>
          <w:trHeight w:val="648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湿米面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①方便面生产过程中产生的湿废碎面（未经过油炸）或油炸过程中的产生的焦糊面；②混沌、饺子生产过程中产生的湿面皮（仅昆山、杭州厂）；③再造米生产过程中产生的湿米或湿米粉（仅金山厂）；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落地料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6"/>
                <w:rFonts w:hint="eastAsia" w:ascii="微软雅黑" w:hAnsi="微软雅黑" w:eastAsia="微软雅黑" w:cs="微软雅黑"/>
                <w:sz w:val="20"/>
                <w:szCs w:val="20"/>
                <w:lang w:val="en-US" w:eastAsia="zh-CN" w:bidi="ar"/>
              </w:rPr>
              <w:t>①散落在地上或报废的面粉；②散落在地上或报废的米粉（仅金山）；③散落在地上或者报废的脱水蔬菜；</w:t>
            </w:r>
            <w:r>
              <w:rPr>
                <w:rStyle w:val="27"/>
                <w:rFonts w:hint="eastAsia" w:ascii="微软雅黑" w:hAnsi="微软雅黑" w:eastAsia="微软雅黑" w:cs="微软雅黑"/>
                <w:sz w:val="20"/>
                <w:szCs w:val="20"/>
                <w:lang w:val="en-US" w:eastAsia="zh-CN" w:bidi="ar"/>
              </w:rPr>
              <w:t>④前述类别均为干粉状态，不含废塑料、棉绳之类的杂物；</w:t>
            </w:r>
          </w:p>
        </w:tc>
      </w:tr>
      <w:tr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废面包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报废面包、三明治及蛋糕胚（不含奶油，仅昆山厂、济南厂）</w:t>
            </w:r>
          </w:p>
        </w:tc>
      </w:tr>
      <w:tr>
        <w:trPr>
          <w:trHeight w:val="227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报废月饼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报废的月饼料及报废的月饼（仅昆山厂、济南厂）</w:t>
            </w:r>
          </w:p>
        </w:tc>
      </w:tr>
    </w:tbl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（4）保证金缴纳：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如同时参与其他子公司下脚品项目投标，投标保证金依各子公司招投标要求分别缴纳；中标后，履约保证金按投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标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文件预估总金额的5%缴纳（上限10万元），具体以项目说明书为准。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firstLine="142" w:firstLineChars="59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.1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营业范围和证书要求</w:t>
      </w:r>
    </w:p>
    <w:p>
      <w:pPr>
        <w:spacing w:line="360" w:lineRule="exact"/>
        <w:ind w:firstLine="142" w:firstLineChars="59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（1）一般类：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废旧物资回收或再生资源回收相关的营业范围；</w:t>
      </w:r>
    </w:p>
    <w:p>
      <w:pPr>
        <w:spacing w:line="360" w:lineRule="exact"/>
        <w:ind w:left="566" w:leftChars="68" w:hanging="423" w:hangingChars="176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（2）废面类：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A：加工企业：饲料加工/生产相关的经营范围，且具备饲料生产许可证，同时具备饲料加工/生产相关的经营范围年限≥1年；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：养殖企业：禽畜养殖相关的经营范围，且具备禽畜养殖相关的经营范围年限≥1年；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C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：回收企业：与上述加工企业/养殖企业签订供货协议书；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045" w:leftChars="269" w:hanging="480" w:hangingChars="200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具备上述三项条件之一即可报名参与竞标。</w:t>
      </w:r>
    </w:p>
    <w:p>
      <w:pPr>
        <w:spacing w:line="360" w:lineRule="exact"/>
        <w:ind w:left="568" w:leftChars="68" w:hanging="425" w:hangingChars="17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.2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个体户、养殖户：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有意向竞标，需提供营业执照、身份证，我司安排审核确认。</w:t>
      </w:r>
    </w:p>
    <w:p>
      <w:pPr>
        <w:spacing w:line="360" w:lineRule="exact"/>
        <w:ind w:left="568" w:leftChars="68" w:hanging="425" w:hangingChars="177"/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highlight w:val="none"/>
        </w:rPr>
        <w:t>2.3</w:t>
      </w:r>
      <w:r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  <w:highlight w:val="none"/>
        </w:rPr>
        <w:t xml:space="preserve"> 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highlight w:val="none"/>
        </w:rPr>
        <w:t>以下项目限工厂所在省份注册服务商参与：</w:t>
      </w:r>
    </w:p>
    <w:p>
      <w:pPr>
        <w:adjustRightInd w:val="0"/>
        <w:snapToGrid w:val="0"/>
        <w:spacing w:line="360" w:lineRule="exact"/>
        <w:ind w:left="226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（1）一般类：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  <w:lang w:val="en-US" w:eastAsia="zh-CN"/>
        </w:rPr>
        <w:t>昆山统一、沈阳统一、哈尔滨统一、成都统一、合肥统一、金山统一、杭州统一</w:t>
      </w:r>
    </w:p>
    <w:p>
      <w:pPr>
        <w:adjustRightInd w:val="0"/>
        <w:snapToGrid w:val="0"/>
        <w:spacing w:line="360" w:lineRule="exact"/>
        <w:ind w:left="226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  <w:lang w:val="en-US" w:eastAsia="zh-CN"/>
        </w:rPr>
        <w:t>（2）废面类：昆山统一、沈阳统一、哈尔滨统一、成都统一、</w:t>
      </w:r>
    </w:p>
    <w:p>
      <w:pPr>
        <w:adjustRightInd w:val="0"/>
        <w:snapToGrid w:val="0"/>
        <w:spacing w:line="360" w:lineRule="exact"/>
        <w:ind w:firstLine="142" w:firstLineChars="59"/>
        <w:rPr>
          <w:rFonts w:ascii="微软雅黑" w:hAnsi="微软雅黑" w:eastAsia="微软雅黑" w:cs="Arial"/>
          <w:b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b/>
          <w:bCs/>
          <w:color w:val="auto"/>
          <w:kern w:val="0"/>
          <w:sz w:val="24"/>
          <w:szCs w:val="24"/>
          <w:highlight w:val="none"/>
        </w:rPr>
        <w:t>2.4以下项目不允许下脚品转移出工厂所在省份：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57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881" w:leftChars="134" w:hanging="600" w:hangingChars="250"/>
        <w:textAlignment w:val="auto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highlight w:val="none"/>
        </w:rPr>
        <w:t>一般类：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highlight w:val="none"/>
          <w:lang w:val="en-US" w:eastAsia="zh-CN"/>
        </w:rPr>
        <w:t>昆山统一、沈阳统一、哈尔滨统一、成都统一、合肥统一、金山统一、杭州统一、长沙统一</w:t>
      </w:r>
    </w:p>
    <w:p>
      <w:pPr>
        <w:numPr>
          <w:ilvl w:val="0"/>
          <w:numId w:val="1"/>
        </w:numPr>
        <w:tabs>
          <w:tab w:val="left" w:pos="7573"/>
        </w:tabs>
        <w:adjustRightInd w:val="0"/>
        <w:snapToGrid w:val="0"/>
        <w:spacing w:line="360" w:lineRule="exact"/>
        <w:ind w:firstLine="283" w:firstLineChars="118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highlight w:val="none"/>
          <w:lang w:val="en-US" w:eastAsia="zh-CN"/>
        </w:rPr>
        <w:t>废面类：昆山统一、沈阳统一、哈尔滨统一、成都统一、长沙统一</w:t>
      </w:r>
    </w:p>
    <w:p>
      <w:pPr>
        <w:adjustRightInd w:val="0"/>
        <w:snapToGrid w:val="0"/>
        <w:spacing w:line="360" w:lineRule="exact"/>
        <w:ind w:firstLine="141" w:firstLineChars="59"/>
        <w:rPr>
          <w:rFonts w:hint="eastAsia" w:ascii="微软雅黑" w:hAnsi="微软雅黑" w:eastAsia="微软雅黑" w:cs="Arial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Arial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2.5厂商需在项目所在地需要有储存场所（自有或租赁均可）；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15" w:leftChars="150" w:firstLine="0" w:firstLineChars="0"/>
        <w:textAlignment w:val="auto"/>
        <w:rPr>
          <w:rFonts w:hint="eastAsia" w:ascii="微软雅黑" w:hAnsi="微软雅黑" w:eastAsia="微软雅黑" w:cs="Arial"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有意向之服务商，可至统一企业慧采平台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首页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（https://huicai.pec.com.cn）进行报名，网址建议使用谷歌浏览器，</w:t>
      </w:r>
      <w:r>
        <w:rPr>
          <w:rFonts w:hint="eastAsia" w:ascii="微软雅黑" w:hAnsi="微软雅黑" w:eastAsia="微软雅黑" w:cs="Arial"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朱超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021-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22158357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/15895650950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C、报名时间：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20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23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年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30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日08时至20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23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年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04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0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5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  <w:bookmarkStart w:id="0" w:name="_GoBack"/>
      <w:bookmarkEnd w:id="0"/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XX统一20XX年度XX服务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default"/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XX统一企业有限公司XX服务项目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，均代表授权公司的行为，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XX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68C259"/>
    <w:multiLevelType w:val="singleLevel"/>
    <w:tmpl w:val="BC68C25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jRiOGVjNGQ4OGM0YzEzYzQ1MWZkNTM4MWNiNmEifQ=="/>
  </w:docVars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2968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1BD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A6F70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1E21263"/>
    <w:rsid w:val="02D46715"/>
    <w:rsid w:val="03DE01E2"/>
    <w:rsid w:val="04B93670"/>
    <w:rsid w:val="04D336D9"/>
    <w:rsid w:val="04DD3F64"/>
    <w:rsid w:val="05711EC1"/>
    <w:rsid w:val="061C3E79"/>
    <w:rsid w:val="061E58BA"/>
    <w:rsid w:val="06DC5B1D"/>
    <w:rsid w:val="06FA0DFD"/>
    <w:rsid w:val="07FC72B9"/>
    <w:rsid w:val="08513A4A"/>
    <w:rsid w:val="086D6BEF"/>
    <w:rsid w:val="08874912"/>
    <w:rsid w:val="0A945424"/>
    <w:rsid w:val="0B625F6A"/>
    <w:rsid w:val="0B736193"/>
    <w:rsid w:val="0B843AB7"/>
    <w:rsid w:val="0CC127BB"/>
    <w:rsid w:val="0D20451A"/>
    <w:rsid w:val="0D316148"/>
    <w:rsid w:val="0DBC42C3"/>
    <w:rsid w:val="0E217FB2"/>
    <w:rsid w:val="0E555699"/>
    <w:rsid w:val="0ED85EC8"/>
    <w:rsid w:val="0F7709E5"/>
    <w:rsid w:val="0FA04990"/>
    <w:rsid w:val="101536F3"/>
    <w:rsid w:val="102820F4"/>
    <w:rsid w:val="10A804E5"/>
    <w:rsid w:val="112F7522"/>
    <w:rsid w:val="11980B4F"/>
    <w:rsid w:val="11991213"/>
    <w:rsid w:val="12160A2F"/>
    <w:rsid w:val="13136FDD"/>
    <w:rsid w:val="14E53E41"/>
    <w:rsid w:val="15CE3B81"/>
    <w:rsid w:val="169D3553"/>
    <w:rsid w:val="17004C46"/>
    <w:rsid w:val="17051824"/>
    <w:rsid w:val="172D4E30"/>
    <w:rsid w:val="17470DF6"/>
    <w:rsid w:val="179E3A27"/>
    <w:rsid w:val="17CD1859"/>
    <w:rsid w:val="180D58CF"/>
    <w:rsid w:val="18261D63"/>
    <w:rsid w:val="18356139"/>
    <w:rsid w:val="18B62A1D"/>
    <w:rsid w:val="18E73E31"/>
    <w:rsid w:val="19202945"/>
    <w:rsid w:val="19457520"/>
    <w:rsid w:val="19BB5F91"/>
    <w:rsid w:val="19E00326"/>
    <w:rsid w:val="1A4B2916"/>
    <w:rsid w:val="1A551D6C"/>
    <w:rsid w:val="1A930BAF"/>
    <w:rsid w:val="1A9F5A1B"/>
    <w:rsid w:val="1AA54A2D"/>
    <w:rsid w:val="1AC647A5"/>
    <w:rsid w:val="1B687D45"/>
    <w:rsid w:val="1B6D7998"/>
    <w:rsid w:val="1C210E57"/>
    <w:rsid w:val="1C6D2E65"/>
    <w:rsid w:val="1CA7734E"/>
    <w:rsid w:val="1CEB6DC6"/>
    <w:rsid w:val="1D933B71"/>
    <w:rsid w:val="1E185B20"/>
    <w:rsid w:val="1E672DC4"/>
    <w:rsid w:val="1F37751E"/>
    <w:rsid w:val="1F5B71FD"/>
    <w:rsid w:val="201523AC"/>
    <w:rsid w:val="20517888"/>
    <w:rsid w:val="20EA0FB8"/>
    <w:rsid w:val="210B525D"/>
    <w:rsid w:val="213344AE"/>
    <w:rsid w:val="21E44BBE"/>
    <w:rsid w:val="221E7C3E"/>
    <w:rsid w:val="223D013C"/>
    <w:rsid w:val="22B365D8"/>
    <w:rsid w:val="22F377CF"/>
    <w:rsid w:val="240124B4"/>
    <w:rsid w:val="25504BC4"/>
    <w:rsid w:val="257F4191"/>
    <w:rsid w:val="268D5392"/>
    <w:rsid w:val="26D05939"/>
    <w:rsid w:val="27DF39CB"/>
    <w:rsid w:val="287A4A84"/>
    <w:rsid w:val="290B200E"/>
    <w:rsid w:val="2A130A0F"/>
    <w:rsid w:val="2A2A6795"/>
    <w:rsid w:val="2A573CED"/>
    <w:rsid w:val="2A5A558B"/>
    <w:rsid w:val="2A8A4F0C"/>
    <w:rsid w:val="2A8B74C9"/>
    <w:rsid w:val="2AD37AD3"/>
    <w:rsid w:val="2BAA42F0"/>
    <w:rsid w:val="2BFA2879"/>
    <w:rsid w:val="2C376CF6"/>
    <w:rsid w:val="2CD07D87"/>
    <w:rsid w:val="2D1A6744"/>
    <w:rsid w:val="2D6A304B"/>
    <w:rsid w:val="2D9B0395"/>
    <w:rsid w:val="2DD0385F"/>
    <w:rsid w:val="2DFB52D7"/>
    <w:rsid w:val="2E0A72C8"/>
    <w:rsid w:val="2E9A064C"/>
    <w:rsid w:val="2FF9AD2F"/>
    <w:rsid w:val="303A20E7"/>
    <w:rsid w:val="30D51E0F"/>
    <w:rsid w:val="30E97669"/>
    <w:rsid w:val="31576006"/>
    <w:rsid w:val="31702961"/>
    <w:rsid w:val="31743CF3"/>
    <w:rsid w:val="322F72FD"/>
    <w:rsid w:val="32754488"/>
    <w:rsid w:val="33525999"/>
    <w:rsid w:val="337C44DF"/>
    <w:rsid w:val="33A06705"/>
    <w:rsid w:val="342D123C"/>
    <w:rsid w:val="345B3646"/>
    <w:rsid w:val="34DE2E7C"/>
    <w:rsid w:val="34E17995"/>
    <w:rsid w:val="34FA4C23"/>
    <w:rsid w:val="3589141A"/>
    <w:rsid w:val="362359AF"/>
    <w:rsid w:val="3661275E"/>
    <w:rsid w:val="37035E0D"/>
    <w:rsid w:val="372E2279"/>
    <w:rsid w:val="37A91900"/>
    <w:rsid w:val="37E72E3C"/>
    <w:rsid w:val="37EF055D"/>
    <w:rsid w:val="37F963E3"/>
    <w:rsid w:val="385B21E4"/>
    <w:rsid w:val="38C1645B"/>
    <w:rsid w:val="38D176AE"/>
    <w:rsid w:val="38F75F91"/>
    <w:rsid w:val="39755F3E"/>
    <w:rsid w:val="397F23B5"/>
    <w:rsid w:val="399D03A2"/>
    <w:rsid w:val="39C3314D"/>
    <w:rsid w:val="3A080B60"/>
    <w:rsid w:val="3B0D76FD"/>
    <w:rsid w:val="3B227670"/>
    <w:rsid w:val="3B245E6D"/>
    <w:rsid w:val="3B9318B5"/>
    <w:rsid w:val="3C196881"/>
    <w:rsid w:val="3C4D097B"/>
    <w:rsid w:val="3D232155"/>
    <w:rsid w:val="3DFA4C63"/>
    <w:rsid w:val="3F2E079E"/>
    <w:rsid w:val="3F5FD547"/>
    <w:rsid w:val="408B7C66"/>
    <w:rsid w:val="40CC2C2D"/>
    <w:rsid w:val="40DB3690"/>
    <w:rsid w:val="41740556"/>
    <w:rsid w:val="419344F0"/>
    <w:rsid w:val="421F113C"/>
    <w:rsid w:val="42642860"/>
    <w:rsid w:val="42645787"/>
    <w:rsid w:val="42CC2D8B"/>
    <w:rsid w:val="42E61C5A"/>
    <w:rsid w:val="42F85DEF"/>
    <w:rsid w:val="430B0F42"/>
    <w:rsid w:val="438625B0"/>
    <w:rsid w:val="439F606E"/>
    <w:rsid w:val="43BD6E5F"/>
    <w:rsid w:val="444E121C"/>
    <w:rsid w:val="46115240"/>
    <w:rsid w:val="483F1017"/>
    <w:rsid w:val="49BD1C5F"/>
    <w:rsid w:val="4A0A6542"/>
    <w:rsid w:val="4A484FA8"/>
    <w:rsid w:val="4B1728EB"/>
    <w:rsid w:val="4B6D7D8D"/>
    <w:rsid w:val="4CA20D9F"/>
    <w:rsid w:val="4CBF59F6"/>
    <w:rsid w:val="4D5478F4"/>
    <w:rsid w:val="4D5501CE"/>
    <w:rsid w:val="4D6B7736"/>
    <w:rsid w:val="4D7F25FA"/>
    <w:rsid w:val="4EE65747"/>
    <w:rsid w:val="4FF3033A"/>
    <w:rsid w:val="50081462"/>
    <w:rsid w:val="50285660"/>
    <w:rsid w:val="505265C6"/>
    <w:rsid w:val="507D43F5"/>
    <w:rsid w:val="5092728F"/>
    <w:rsid w:val="511E6391"/>
    <w:rsid w:val="514E10F6"/>
    <w:rsid w:val="5168105A"/>
    <w:rsid w:val="53425033"/>
    <w:rsid w:val="5358625C"/>
    <w:rsid w:val="539B25ED"/>
    <w:rsid w:val="53C9715A"/>
    <w:rsid w:val="54040192"/>
    <w:rsid w:val="557B6BE5"/>
    <w:rsid w:val="55853555"/>
    <w:rsid w:val="55A25EB5"/>
    <w:rsid w:val="55FB04F0"/>
    <w:rsid w:val="56244F35"/>
    <w:rsid w:val="56251C03"/>
    <w:rsid w:val="57141737"/>
    <w:rsid w:val="57494911"/>
    <w:rsid w:val="58313520"/>
    <w:rsid w:val="585C1E4B"/>
    <w:rsid w:val="589C6BEB"/>
    <w:rsid w:val="58F83D9E"/>
    <w:rsid w:val="590F262A"/>
    <w:rsid w:val="592D40F6"/>
    <w:rsid w:val="593F084E"/>
    <w:rsid w:val="5A374938"/>
    <w:rsid w:val="5A403EEE"/>
    <w:rsid w:val="5AAB580B"/>
    <w:rsid w:val="5AF0321E"/>
    <w:rsid w:val="5B0D2022"/>
    <w:rsid w:val="5B2335F4"/>
    <w:rsid w:val="5B236543"/>
    <w:rsid w:val="5D245401"/>
    <w:rsid w:val="5E7A5F46"/>
    <w:rsid w:val="5F3A715E"/>
    <w:rsid w:val="5FB707AE"/>
    <w:rsid w:val="5FBC4489"/>
    <w:rsid w:val="6030471F"/>
    <w:rsid w:val="604C0EF7"/>
    <w:rsid w:val="609C14A7"/>
    <w:rsid w:val="60B756E1"/>
    <w:rsid w:val="60BB42CE"/>
    <w:rsid w:val="60CC0CCC"/>
    <w:rsid w:val="615A6614"/>
    <w:rsid w:val="629B6165"/>
    <w:rsid w:val="62C339BB"/>
    <w:rsid w:val="63DE27AE"/>
    <w:rsid w:val="642562B4"/>
    <w:rsid w:val="64870DB9"/>
    <w:rsid w:val="64A02B60"/>
    <w:rsid w:val="65165F77"/>
    <w:rsid w:val="65B80DDC"/>
    <w:rsid w:val="65EF514F"/>
    <w:rsid w:val="6747517D"/>
    <w:rsid w:val="67654F94"/>
    <w:rsid w:val="67C27CF0"/>
    <w:rsid w:val="67DD0FCE"/>
    <w:rsid w:val="67F73C7C"/>
    <w:rsid w:val="68752FB5"/>
    <w:rsid w:val="68EC771B"/>
    <w:rsid w:val="69006D22"/>
    <w:rsid w:val="69157CF5"/>
    <w:rsid w:val="69D361E5"/>
    <w:rsid w:val="69E5098F"/>
    <w:rsid w:val="6A067827"/>
    <w:rsid w:val="6A282D14"/>
    <w:rsid w:val="6A8E2B8C"/>
    <w:rsid w:val="6B234E64"/>
    <w:rsid w:val="6B2A0087"/>
    <w:rsid w:val="6B737C7F"/>
    <w:rsid w:val="6B857737"/>
    <w:rsid w:val="6BC4672D"/>
    <w:rsid w:val="6BF12823"/>
    <w:rsid w:val="6C82207F"/>
    <w:rsid w:val="6D367D11"/>
    <w:rsid w:val="6D4713C4"/>
    <w:rsid w:val="6D902343"/>
    <w:rsid w:val="6DEC3D19"/>
    <w:rsid w:val="6E391BA9"/>
    <w:rsid w:val="6F0F587A"/>
    <w:rsid w:val="6FA0103F"/>
    <w:rsid w:val="6FAB5E69"/>
    <w:rsid w:val="6FCA3942"/>
    <w:rsid w:val="713F0604"/>
    <w:rsid w:val="72B71497"/>
    <w:rsid w:val="73AA75ED"/>
    <w:rsid w:val="740047EE"/>
    <w:rsid w:val="74021003"/>
    <w:rsid w:val="741B0702"/>
    <w:rsid w:val="743836C2"/>
    <w:rsid w:val="744E2284"/>
    <w:rsid w:val="747B1953"/>
    <w:rsid w:val="74980757"/>
    <w:rsid w:val="74BE7A92"/>
    <w:rsid w:val="751A73BE"/>
    <w:rsid w:val="75DB4190"/>
    <w:rsid w:val="763D6F8C"/>
    <w:rsid w:val="770025E3"/>
    <w:rsid w:val="779C48D2"/>
    <w:rsid w:val="77D01FB6"/>
    <w:rsid w:val="77F2073C"/>
    <w:rsid w:val="79097131"/>
    <w:rsid w:val="791D6126"/>
    <w:rsid w:val="794744F9"/>
    <w:rsid w:val="7A38353F"/>
    <w:rsid w:val="7A396538"/>
    <w:rsid w:val="7ABF68BB"/>
    <w:rsid w:val="7B007AE2"/>
    <w:rsid w:val="7B1A466C"/>
    <w:rsid w:val="7B690523"/>
    <w:rsid w:val="7BE52F47"/>
    <w:rsid w:val="7CD51E1C"/>
    <w:rsid w:val="7D7529E3"/>
    <w:rsid w:val="7D7F62B8"/>
    <w:rsid w:val="7E4932DF"/>
    <w:rsid w:val="7EE476DF"/>
    <w:rsid w:val="7F2E7447"/>
    <w:rsid w:val="7FE20802"/>
    <w:rsid w:val="7FEB449A"/>
    <w:rsid w:val="7FF78A1B"/>
    <w:rsid w:val="DDFFDE0A"/>
    <w:rsid w:val="EBEB52F7"/>
    <w:rsid w:val="F7EE4E80"/>
    <w:rsid w:val="FB3F3834"/>
    <w:rsid w:val="FF52F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4"/>
    <w:link w:val="8"/>
    <w:qFormat/>
    <w:uiPriority w:val="99"/>
    <w:rPr>
      <w:kern w:val="2"/>
      <w:sz w:val="18"/>
    </w:rPr>
  </w:style>
  <w:style w:type="character" w:customStyle="1" w:styleId="23">
    <w:name w:val="font01"/>
    <w:basedOn w:val="1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4">
    <w:name w:val="font41"/>
    <w:basedOn w:val="14"/>
    <w:qFormat/>
    <w:uiPriority w:val="0"/>
    <w:rPr>
      <w:rFonts w:hint="eastAsia" w:ascii="宋体" w:hAnsi="宋体" w:eastAsia="宋体" w:cs="宋体"/>
      <w:color w:val="0000FF"/>
      <w:sz w:val="21"/>
      <w:szCs w:val="21"/>
      <w:u w:val="none"/>
    </w:rPr>
  </w:style>
  <w:style w:type="character" w:customStyle="1" w:styleId="25">
    <w:name w:val="font31"/>
    <w:basedOn w:val="1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6">
    <w:name w:val="font21"/>
    <w:basedOn w:val="1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7">
    <w:name w:val="font11"/>
    <w:basedOn w:val="14"/>
    <w:qFormat/>
    <w:uiPriority w:val="0"/>
    <w:rPr>
      <w:rFonts w:hint="eastAsia" w:ascii="宋体" w:hAnsi="宋体" w:eastAsia="宋体" w:cs="宋体"/>
      <w:color w:val="0000FF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1</Pages>
  <Words>234</Words>
  <Characters>1334</Characters>
  <Lines>11</Lines>
  <Paragraphs>3</Paragraphs>
  <TotalTime>3</TotalTime>
  <ScaleCrop>false</ScaleCrop>
  <LinksUpToDate>false</LinksUpToDate>
  <CharactersWithSpaces>1565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2021-01-26T13:42:00Z</dcterms:created>
  <dc:creator>grdpec</dc:creator>
  <cp:keywords>标准</cp:keywords>
  <cp:lastModifiedBy>管明明明</cp:lastModifiedBy>
  <cp:lastPrinted>2022-04-03T14:07:00Z</cp:lastPrinted>
  <dcterms:modified xsi:type="dcterms:W3CDTF">2023-03-29T08:21:04Z</dcterms:modified>
  <dc:subject>昆山研究所标准书模板</dc:subject>
  <dc:title>stdbook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3CD1C9EA145846D18067ECB346F2E1C9</vt:lpwstr>
  </property>
</Properties>
</file>