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成都统一企业食品有限公司针对</w:t>
      </w:r>
      <w:r>
        <w:rPr>
          <w:rFonts w:hint="eastAsia" w:ascii="微软雅黑" w:hAnsi="微软雅黑" w:eastAsia="微软雅黑" w:cs="Arial"/>
          <w:b/>
          <w:color w:val="000000"/>
          <w:kern w:val="0"/>
          <w:sz w:val="24"/>
          <w:szCs w:val="24"/>
        </w:rPr>
        <w:t>2022-2024食堂外包服务项目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04</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24</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sz w:val="24"/>
        </w:rPr>
        <w:t>成都市温江区蓉台大道北段18号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sz w:val="24"/>
          <w:szCs w:val="24"/>
        </w:rPr>
        <w:t>为甲方员工提供早餐、中餐、晚餐(晚1、晚2)、夜餐，五餐饮食饭菜。</w:t>
      </w:r>
    </w:p>
    <w:p>
      <w:pPr>
        <w:widowControl/>
        <w:shd w:val="clear" w:color="auto" w:fill="FFFFFF"/>
        <w:ind w:left="1556" w:leftChars="202" w:hanging="1132" w:hangingChars="47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w:t>
      </w:r>
      <w:r>
        <w:rPr>
          <w:rFonts w:hint="eastAsia" w:ascii="微软雅黑" w:hAnsi="微软雅黑" w:eastAsia="微软雅黑" w:cs="宋体"/>
          <w:color w:val="000000"/>
          <w:kern w:val="0"/>
          <w:sz w:val="24"/>
          <w:szCs w:val="24"/>
        </w:rPr>
        <w:t>400</w:t>
      </w:r>
      <w:r>
        <w:rPr>
          <w:rFonts w:ascii="微软雅黑" w:hAnsi="微软雅黑" w:eastAsia="微软雅黑" w:cs="宋体"/>
          <w:color w:val="000000"/>
          <w:kern w:val="0"/>
          <w:sz w:val="24"/>
          <w:szCs w:val="24"/>
        </w:rPr>
        <w:t>平方米</w:t>
      </w:r>
      <w:r>
        <w:rPr>
          <w:rFonts w:hint="eastAsia" w:ascii="微软雅黑" w:hAnsi="微软雅黑" w:eastAsia="微软雅黑" w:cs="宋体"/>
          <w:color w:val="000000"/>
          <w:kern w:val="0"/>
          <w:sz w:val="24"/>
          <w:szCs w:val="24"/>
        </w:rPr>
        <w:t>（厨房）、800平方米（就餐大厅）</w:t>
      </w:r>
      <w:r>
        <w:rPr>
          <w:rFonts w:hint="eastAsia" w:ascii="微软雅黑" w:hAnsi="微软雅黑" w:eastAsia="微软雅黑"/>
          <w:sz w:val="24"/>
          <w:szCs w:val="24"/>
          <w:shd w:val="clear" w:color="auto" w:fill="FFFFFF"/>
        </w:rPr>
        <w:t>。</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(2)、总就餐人数：平均约1200人/天(含统实、宇展)。</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(3)、单餐最高就餐人数：约700人。</w:t>
      </w:r>
    </w:p>
    <w:p>
      <w:pPr>
        <w:widowControl/>
        <w:shd w:val="clear" w:color="auto" w:fill="FFFFFF"/>
        <w:ind w:left="992" w:leftChars="202" w:hanging="568" w:hangingChars="237"/>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(4)、食堂硬件设备：</w:t>
      </w:r>
      <w:r>
        <w:rPr>
          <w:rFonts w:hint="eastAsia" w:ascii="微软雅黑" w:hAnsi="微软雅黑" w:eastAsia="微软雅黑" w:cs="宋体"/>
          <w:color w:val="000000"/>
          <w:kern w:val="0"/>
          <w:sz w:val="24"/>
          <w:szCs w:val="24"/>
        </w:rPr>
        <w:t>双头大锅灶一台、电大锅1个、冰柜：4个、蒸饭车3个、消毒柜3个、切菜机1个、绞肉机1个、留样柜1个、天燃汽汤锅1个</w:t>
      </w:r>
      <w:r>
        <w:rPr>
          <w:rFonts w:hint="eastAsia" w:ascii="微软雅黑" w:hAnsi="微软雅黑" w:eastAsia="微软雅黑"/>
          <w:sz w:val="24"/>
          <w:szCs w:val="24"/>
          <w:shd w:val="clear" w:color="auto" w:fill="FFFFFF"/>
        </w:rPr>
        <w:t>。</w:t>
      </w:r>
      <w:r>
        <w:rPr>
          <w:rFonts w:ascii="微软雅黑" w:hAnsi="微软雅黑" w:eastAsia="微软雅黑" w:cs="Arial"/>
          <w:kern w:val="0"/>
          <w:sz w:val="24"/>
          <w:szCs w:val="24"/>
        </w:rPr>
        <w:t xml:space="preserve"> </w:t>
      </w:r>
    </w:p>
    <w:p>
      <w:pPr>
        <w:widowControl/>
        <w:shd w:val="clear" w:color="auto" w:fill="FFFFFF"/>
        <w:ind w:left="940" w:leftChars="219" w:hanging="480" w:hanging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(5)、在食堂硬件条件下需保证按时为成都统一企业食品有限公司员工(</w:t>
      </w:r>
      <w:r>
        <w:rPr>
          <w:rFonts w:hint="eastAsia" w:ascii="微软雅黑" w:hAnsi="微软雅黑" w:eastAsia="微软雅黑"/>
          <w:sz w:val="24"/>
          <w:szCs w:val="24"/>
          <w:shd w:val="clear" w:color="auto" w:fill="FFFFFF"/>
        </w:rPr>
        <w:t>含统实、宇展、</w:t>
      </w:r>
      <w:r>
        <w:rPr>
          <w:rFonts w:hint="eastAsia" w:ascii="微软雅黑" w:hAnsi="微软雅黑" w:eastAsia="微软雅黑" w:cs="Arial"/>
          <w:kern w:val="0"/>
          <w:sz w:val="24"/>
          <w:szCs w:val="24"/>
        </w:rPr>
        <w:t>劳务工等)提供早餐、正餐(中、晚1、晚2、夜餐)共5餐餐饮供应。</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686" w:leftChars="136" w:hanging="400" w:hangingChars="16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r>
        <w:rPr>
          <w:rFonts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B、具备经营餐饮行业的资格证书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C、注册资本：≥200万人民币，且可以开具增值税发票；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D、公司成立时间在3年以上（含），且具备</w:t>
      </w:r>
      <w:r>
        <w:rPr>
          <w:rFonts w:hint="eastAsia" w:ascii="微软雅黑" w:hAnsi="微软雅黑" w:eastAsia="微软雅黑" w:cs="Arial"/>
          <w:color w:val="000000" w:themeColor="text1"/>
          <w:kern w:val="0"/>
          <w:sz w:val="24"/>
          <w:szCs w:val="24"/>
        </w:rPr>
        <w:t>餐饮服务</w:t>
      </w:r>
      <w:r>
        <w:rPr>
          <w:rFonts w:hint="eastAsia" w:ascii="微软雅黑" w:hAnsi="微软雅黑" w:eastAsia="微软雅黑" w:cs="Arial"/>
          <w:color w:val="000000"/>
          <w:kern w:val="0"/>
          <w:sz w:val="24"/>
          <w:szCs w:val="24"/>
        </w:rPr>
        <w:t>营业范围3年以上（含）；</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fldChar w:fldCharType="begin"/>
      </w:r>
      <w:r>
        <w:rPr>
          <w:rFonts w:hint="eastAsia" w:ascii="微软雅黑" w:hAnsi="微软雅黑" w:eastAsia="微软雅黑" w:cs="Arial"/>
          <w:color w:val="000000"/>
          <w:kern w:val="0"/>
          <w:sz w:val="24"/>
          <w:szCs w:val="24"/>
          <w:lang w:val="en-US" w:eastAsia="zh-Hans"/>
        </w:rPr>
        <w:instrText xml:space="preserve"> HYPERLINK "mailto:guanming@pec.com。" </w:instrText>
      </w:r>
      <w:r>
        <w:rPr>
          <w:rFonts w:hint="eastAsia" w:ascii="微软雅黑" w:hAnsi="微软雅黑" w:eastAsia="微软雅黑" w:cs="Arial"/>
          <w:color w:val="000000"/>
          <w:kern w:val="0"/>
          <w:sz w:val="24"/>
          <w:szCs w:val="24"/>
          <w:lang w:val="en-US" w:eastAsia="zh-Hans"/>
        </w:rPr>
        <w:fldChar w:fldCharType="separate"/>
      </w:r>
      <w:r>
        <w:rPr>
          <w:rStyle w:val="15"/>
          <w:rFonts w:hint="eastAsia" w:ascii="微软雅黑" w:hAnsi="微软雅黑" w:eastAsia="微软雅黑" w:cs="Arial"/>
          <w:kern w:val="0"/>
          <w:sz w:val="24"/>
          <w:szCs w:val="24"/>
          <w:lang w:val="en-US" w:eastAsia="zh-Hans"/>
        </w:rPr>
        <w:t>guanming</w:t>
      </w:r>
      <w:r>
        <w:rPr>
          <w:rStyle w:val="15"/>
          <w:rFonts w:hint="default" w:ascii="微软雅黑" w:hAnsi="微软雅黑" w:eastAsia="微软雅黑" w:cs="Arial"/>
          <w:kern w:val="0"/>
          <w:sz w:val="24"/>
          <w:szCs w:val="24"/>
          <w:lang w:eastAsia="zh-Hans"/>
        </w:rPr>
        <w:t>@</w:t>
      </w:r>
      <w:r>
        <w:rPr>
          <w:rStyle w:val="15"/>
          <w:rFonts w:hint="eastAsia" w:ascii="微软雅黑" w:hAnsi="微软雅黑" w:eastAsia="微软雅黑" w:cs="Arial"/>
          <w:kern w:val="0"/>
          <w:sz w:val="24"/>
          <w:szCs w:val="24"/>
          <w:lang w:val="en-US" w:eastAsia="zh-Hans"/>
        </w:rPr>
        <w:t>pec.com</w:t>
      </w:r>
      <w:r>
        <w:rPr>
          <w:rStyle w:val="15"/>
          <w:rFonts w:hint="default" w:ascii="微软雅黑" w:hAnsi="微软雅黑" w:eastAsia="微软雅黑" w:cs="Arial"/>
          <w:kern w:val="0"/>
          <w:sz w:val="24"/>
          <w:szCs w:val="24"/>
          <w:lang w:eastAsia="zh-Hans"/>
        </w:rPr>
        <w:t>.</w:t>
      </w:r>
      <w:r>
        <w:rPr>
          <w:rFonts w:hint="eastAsia" w:ascii="微软雅黑" w:hAnsi="微软雅黑" w:eastAsia="微软雅黑" w:cs="Arial"/>
          <w:color w:val="000000"/>
          <w:kern w:val="0"/>
          <w:sz w:val="24"/>
          <w:szCs w:val="24"/>
          <w:lang w:val="en-US" w:eastAsia="zh-Hans"/>
        </w:rPr>
        <w:fldChar w:fldCharType="end"/>
      </w:r>
      <w:r>
        <w:rPr>
          <w:rFonts w:hint="eastAsia" w:ascii="微软雅黑" w:hAnsi="微软雅黑" w:eastAsia="微软雅黑" w:cs="Arial"/>
          <w:color w:val="000000"/>
          <w:kern w:val="0"/>
          <w:sz w:val="24"/>
          <w:szCs w:val="24"/>
          <w:lang w:val="en-US" w:eastAsia="zh-Hans"/>
        </w:rPr>
        <w:t>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2</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8</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2</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bookmarkStart w:id="0" w:name="_GoBack"/>
      <w:bookmarkEnd w:id="0"/>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成都统一2022-2024年度食堂外包服务</w:t>
      </w:r>
      <w:r>
        <w:rPr>
          <w:rFonts w:hint="eastAsia" w:ascii="宋体" w:hAnsi="宋体"/>
          <w:b/>
          <w:bCs/>
          <w:sz w:val="20"/>
          <w:szCs w:val="24"/>
          <w:u w:val="single"/>
        </w:rPr>
        <w:t xml:space="preserve">  </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成都统一企业食品有限公司2022-2024食堂外包服务项目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成都  </w:t>
      </w:r>
      <w:r>
        <w:rPr>
          <w:rFonts w:hint="eastAsia"/>
          <w:sz w:val="28"/>
        </w:rPr>
        <w:t>统一企业食品有限公司项目招标活动结束时止，如中标至与招标人签订项目合同执行完毕为止。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auto"/>
    <w:pitch w:val="default"/>
    <w:sig w:usb0="00000000" w:usb1="00000000" w:usb2="00000010" w:usb3="00000000" w:csb0="00100000"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115"/>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F61"/>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4DDB"/>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2BC"/>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87BC8"/>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DF1"/>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2784"/>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241E"/>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06F"/>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D677A"/>
    <w:rsid w:val="00FE03E4"/>
    <w:rsid w:val="00FE04F6"/>
    <w:rsid w:val="00FE106A"/>
    <w:rsid w:val="00FE36C2"/>
    <w:rsid w:val="00FE409E"/>
    <w:rsid w:val="00FE5239"/>
    <w:rsid w:val="00FE5DAC"/>
    <w:rsid w:val="00FF0E5C"/>
    <w:rsid w:val="00FF38E8"/>
    <w:rsid w:val="00FF3E4C"/>
    <w:rsid w:val="00FF4D41"/>
    <w:rsid w:val="2A5F0DF8"/>
    <w:rsid w:val="37F5BCC9"/>
    <w:rsid w:val="3B279115"/>
    <w:rsid w:val="7DFF8040"/>
    <w:rsid w:val="7F5EA245"/>
    <w:rsid w:val="7F7B720B"/>
    <w:rsid w:val="B77FE19B"/>
    <w:rsid w:val="F6FC58B1"/>
    <w:rsid w:val="F7DF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Char"/>
    <w:basedOn w:val="13"/>
    <w:link w:val="3"/>
    <w:semiHidden/>
    <w:qFormat/>
    <w:uiPriority w:val="0"/>
    <w:rPr>
      <w:kern w:val="2"/>
      <w:sz w:val="21"/>
    </w:rPr>
  </w:style>
  <w:style w:type="character" w:customStyle="1" w:styleId="20">
    <w:name w:val="批注主题 Char"/>
    <w:basedOn w:val="19"/>
    <w:link w:val="2"/>
    <w:semiHidden/>
    <w:qFormat/>
    <w:uiPriority w:val="0"/>
    <w:rPr>
      <w:b/>
      <w:bCs/>
    </w:rPr>
  </w:style>
  <w:style w:type="character" w:customStyle="1" w:styleId="21">
    <w:name w:val="awspan1"/>
    <w:basedOn w:val="13"/>
    <w:qFormat/>
    <w:uiPriority w:val="0"/>
    <w:rPr>
      <w:color w:val="000000"/>
      <w:sz w:val="24"/>
      <w:szCs w:val="24"/>
    </w:rPr>
  </w:style>
  <w:style w:type="character" w:customStyle="1" w:styleId="22">
    <w:name w:val="页脚 Char"/>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286</Words>
  <Characters>1632</Characters>
  <Lines>13</Lines>
  <Paragraphs>3</Paragraphs>
  <TotalTime>0</TotalTime>
  <ScaleCrop>false</ScaleCrop>
  <LinksUpToDate>false</LinksUpToDate>
  <CharactersWithSpaces>1915</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2021-04-01T15:28:00Z</dcterms:created>
  <dc:creator>grdpec</dc:creator>
  <cp:keywords>标准</cp:keywords>
  <cp:lastModifiedBy>apple</cp:lastModifiedBy>
  <cp:lastPrinted>2017-11-14T09:02:00Z</cp:lastPrinted>
  <dcterms:modified xsi:type="dcterms:W3CDTF">2022-02-08T09:13:17Z</dcterms:modified>
  <dc:subject>昆山研究所标准书模板</dc:subject>
  <dc:title>stdbook</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