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600" w:firstLineChars="25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重庆统一企业有限公司针对</w:t>
      </w:r>
      <w:r>
        <w:rPr>
          <w:rFonts w:hint="eastAsia" w:ascii="微软雅黑" w:hAnsi="微软雅黑" w:eastAsia="微软雅黑" w:cs="Arial"/>
          <w:b/>
          <w:color w:val="000000"/>
          <w:kern w:val="0"/>
          <w:sz w:val="24"/>
          <w:szCs w:val="24"/>
        </w:rPr>
        <w:t xml:space="preserve">茶渣安全处置服务项目 </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21</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03</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21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23</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3</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项目地点：重庆市璧山区青杠街道统一路6号</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项目范围：厂区茶渣安全处置服务</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 xml:space="preserve">    A、服务机构指定人员（可以是清运司机）在重庆统一电话告知茶渣达将到5吨时，应及时</w:t>
      </w:r>
    </w:p>
    <w:p>
      <w:pPr>
        <w:widowControl/>
        <w:shd w:val="clear" w:color="auto" w:fill="FFFFFF"/>
        <w:ind w:left="1554" w:leftChars="601" w:hanging="292" w:hangingChars="12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组织车辆到重庆统一厂内茶渣井处清运。</w:t>
      </w:r>
    </w:p>
    <w:p>
      <w:pPr>
        <w:widowControl/>
        <w:shd w:val="clear" w:color="auto" w:fill="FFFFFF"/>
        <w:ind w:left="1555" w:leftChars="430" w:hanging="652" w:hangingChars="2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B、服务机构应按照环境保护法等相关法律法规的规定对茶渣实施规范贮存和处置。</w:t>
      </w:r>
    </w:p>
    <w:p>
      <w:pPr>
        <w:widowControl/>
        <w:shd w:val="clear" w:color="auto" w:fill="FFFFFF"/>
        <w:ind w:left="1555" w:leftChars="430" w:hanging="652" w:hangingChars="2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C、服务机构清运茶渣应做到沿路无渗漏。</w:t>
      </w:r>
    </w:p>
    <w:p>
      <w:pPr>
        <w:widowControl/>
        <w:shd w:val="clear" w:color="auto" w:fill="FFFFFF"/>
        <w:ind w:left="1555" w:leftChars="430" w:hanging="652" w:hangingChars="2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D、服务机构清运车辆离开重庆统一厂区后产生的环境问题与重庆统一无关，责任由服务机</w:t>
      </w:r>
    </w:p>
    <w:p>
      <w:pPr>
        <w:widowControl/>
        <w:shd w:val="clear" w:color="auto" w:fill="FFFFFF"/>
        <w:ind w:left="1555" w:leftChars="430" w:hanging="652" w:hangingChars="2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构承担。</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保证金缴纳：投标保证金0.2万元；履约保证金0.2万元，具体以招标说明书为准。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7" w:leftChars="270" w:firstLine="120" w:firstLineChars="50"/>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营业范围：加工(饲料、肥料)；种植、养殖；垃圾清运/回收/运输/处理等相关的经营范围。</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eastAsia="zh-CN"/>
        </w:rPr>
        <w:t>董维</w:t>
      </w:r>
      <w:r>
        <w:rPr>
          <w:rFonts w:hint="eastAsia" w:ascii="微软雅黑" w:hAnsi="微软雅黑" w:eastAsia="微软雅黑" w:cs="Arial"/>
          <w:color w:val="000000"/>
          <w:kern w:val="0"/>
          <w:sz w:val="24"/>
          <w:szCs w:val="24"/>
        </w:rPr>
        <w:t xml:space="preserve"> </w:t>
      </w:r>
    </w:p>
    <w:p>
      <w:pPr>
        <w:spacing w:line="360" w:lineRule="exact"/>
        <w:ind w:left="566" w:leftChars="136" w:hanging="280" w:hangingChars="117"/>
        <w:rPr>
          <w:rFonts w:hint="default" w:ascii="微软雅黑" w:hAnsi="微软雅黑" w:eastAsia="微软雅黑" w:cs="Arial"/>
          <w:color w:val="000000"/>
          <w:kern w:val="0"/>
          <w:sz w:val="24"/>
          <w:szCs w:val="24"/>
          <w:lang w:val="en-US" w:eastAsia="zh-CN"/>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eastAsia" w:ascii="微软雅黑" w:hAnsi="微软雅黑" w:eastAsia="微软雅黑" w:cs="Arial"/>
          <w:color w:val="000000"/>
          <w:kern w:val="0"/>
          <w:sz w:val="24"/>
          <w:szCs w:val="24"/>
          <w:lang w:eastAsia="zh-CN"/>
        </w:rPr>
        <w:t>手机</w:t>
      </w:r>
      <w:r>
        <w:rPr>
          <w:rFonts w:hint="eastAsia" w:ascii="微软雅黑" w:hAnsi="微软雅黑" w:eastAsia="微软雅黑" w:cs="Arial"/>
          <w:color w:val="000000"/>
          <w:kern w:val="0"/>
          <w:sz w:val="24"/>
          <w:szCs w:val="24"/>
          <w:lang w:val="en-US" w:eastAsia="zh-CN"/>
        </w:rPr>
        <w:t>13503068994，座机021－22158888分机4455</w:t>
      </w:r>
    </w:p>
    <w:p>
      <w:pPr>
        <w:spacing w:line="360" w:lineRule="exact"/>
        <w:ind w:left="566" w:leftChars="136" w:hanging="280" w:hangingChars="117"/>
        <w:rPr>
          <w:rFonts w:hint="default" w:ascii="微软雅黑" w:hAnsi="微软雅黑" w:eastAsia="微软雅黑" w:cs="Arial"/>
          <w:color w:val="000000"/>
          <w:kern w:val="0"/>
          <w:sz w:val="24"/>
          <w:szCs w:val="24"/>
          <w:lang w:val="en-US" w:eastAsia="zh-CN"/>
        </w:rPr>
      </w:pPr>
      <w:r>
        <w:rPr>
          <w:rFonts w:hint="eastAsia" w:ascii="微软雅黑" w:hAnsi="微软雅黑" w:eastAsia="微软雅黑" w:cs="Arial"/>
          <w:color w:val="000000"/>
          <w:kern w:val="0"/>
          <w:sz w:val="24"/>
          <w:szCs w:val="24"/>
        </w:rPr>
        <w:t>C、邮箱：</w:t>
      </w:r>
      <w:r>
        <w:rPr>
          <w:rFonts w:hint="eastAsia" w:ascii="微软雅黑" w:hAnsi="微软雅黑" w:eastAsia="微软雅黑" w:cs="Arial"/>
          <w:color w:val="000000"/>
          <w:kern w:val="0"/>
          <w:sz w:val="24"/>
          <w:szCs w:val="24"/>
          <w:lang w:val="en-US" w:eastAsia="zh-CN"/>
        </w:rPr>
        <w:t>dongwei1@pec.com.cn</w:t>
      </w:r>
    </w:p>
    <w:p>
      <w:pPr>
        <w:spacing w:line="360" w:lineRule="exact"/>
        <w:ind w:left="566" w:leftChars="136" w:hanging="280" w:hangingChars="117"/>
        <w:rPr>
          <w:rFonts w:ascii="微软雅黑" w:hAnsi="微软雅黑" w:eastAsia="微软雅黑" w:cs="Arial"/>
          <w:color w:val="000000"/>
          <w:kern w:val="0"/>
          <w:sz w:val="24"/>
          <w:szCs w:val="24"/>
          <w:highlight w:val="none"/>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w:t>
      </w:r>
      <w:r>
        <w:rPr>
          <w:rFonts w:hint="eastAsia" w:ascii="微软雅黑" w:hAnsi="微软雅黑" w:eastAsia="微软雅黑" w:cs="Arial"/>
          <w:b/>
          <w:color w:val="000000"/>
          <w:kern w:val="0"/>
          <w:sz w:val="24"/>
          <w:szCs w:val="24"/>
          <w:lang w:val="en-US" w:eastAsia="zh-CN"/>
        </w:rPr>
        <w:t>20</w:t>
      </w:r>
      <w:r>
        <w:rPr>
          <w:rFonts w:hint="eastAsia" w:ascii="微软雅黑" w:hAnsi="微软雅黑" w:eastAsia="微软雅黑" w:cs="Arial"/>
          <w:b/>
          <w:color w:val="000000"/>
          <w:kern w:val="0"/>
          <w:sz w:val="24"/>
          <w:szCs w:val="24"/>
        </w:rPr>
        <w:t>年</w:t>
      </w:r>
      <w:r>
        <w:rPr>
          <w:rFonts w:hint="eastAsia" w:ascii="微软雅黑" w:hAnsi="微软雅黑" w:eastAsia="微软雅黑" w:cs="Arial"/>
          <w:b/>
          <w:color w:val="000000"/>
          <w:kern w:val="0"/>
          <w:sz w:val="24"/>
          <w:szCs w:val="24"/>
          <w:lang w:val="en-US" w:eastAsia="zh-CN"/>
        </w:rPr>
        <w:t>1</w:t>
      </w:r>
      <w:r>
        <w:rPr>
          <w:rFonts w:hint="eastAsia" w:ascii="微软雅黑" w:hAnsi="微软雅黑" w:eastAsia="微软雅黑" w:cs="Arial"/>
          <w:b/>
          <w:color w:val="000000"/>
          <w:kern w:val="0"/>
          <w:sz w:val="24"/>
          <w:szCs w:val="24"/>
          <w:highlight w:val="none"/>
          <w:lang w:val="en-US" w:eastAsia="zh-CN"/>
        </w:rPr>
        <w:t>2</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18</w:t>
      </w:r>
      <w:r>
        <w:rPr>
          <w:rFonts w:hint="eastAsia" w:ascii="微软雅黑" w:hAnsi="微软雅黑" w:eastAsia="微软雅黑" w:cs="Arial"/>
          <w:b/>
          <w:color w:val="000000"/>
          <w:kern w:val="0"/>
          <w:sz w:val="24"/>
          <w:szCs w:val="24"/>
          <w:highlight w:val="none"/>
        </w:rPr>
        <w:t>日08时至20</w:t>
      </w:r>
      <w:r>
        <w:rPr>
          <w:rFonts w:hint="eastAsia" w:ascii="微软雅黑" w:hAnsi="微软雅黑" w:eastAsia="微软雅黑" w:cs="Arial"/>
          <w:b/>
          <w:color w:val="000000"/>
          <w:kern w:val="0"/>
          <w:sz w:val="24"/>
          <w:szCs w:val="24"/>
          <w:highlight w:val="none"/>
          <w:lang w:val="en-US" w:eastAsia="zh-CN"/>
        </w:rPr>
        <w:t>20</w:t>
      </w:r>
      <w:r>
        <w:rPr>
          <w:rFonts w:hint="eastAsia" w:ascii="微软雅黑" w:hAnsi="微软雅黑" w:eastAsia="微软雅黑" w:cs="Arial"/>
          <w:b/>
          <w:color w:val="000000"/>
          <w:kern w:val="0"/>
          <w:sz w:val="24"/>
          <w:szCs w:val="24"/>
          <w:highlight w:val="none"/>
        </w:rPr>
        <w:t>年</w:t>
      </w:r>
      <w:r>
        <w:rPr>
          <w:rFonts w:hint="eastAsia" w:ascii="微软雅黑" w:hAnsi="微软雅黑" w:eastAsia="微软雅黑" w:cs="Arial"/>
          <w:b/>
          <w:color w:val="000000"/>
          <w:kern w:val="0"/>
          <w:sz w:val="24"/>
          <w:szCs w:val="24"/>
          <w:highlight w:val="none"/>
          <w:lang w:val="en-US" w:eastAsia="zh-CN"/>
        </w:rPr>
        <w:t>12</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24</w:t>
      </w:r>
      <w:r>
        <w:rPr>
          <w:rFonts w:hint="eastAsia" w:ascii="微软雅黑" w:hAnsi="微软雅黑" w:eastAsia="微软雅黑" w:cs="Arial"/>
          <w:b/>
          <w:color w:val="000000"/>
          <w:kern w:val="0"/>
          <w:sz w:val="24"/>
          <w:szCs w:val="24"/>
          <w:highlight w:val="none"/>
        </w:rPr>
        <w:t>日17时止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w:t>
      </w:r>
      <w:bookmarkStart w:id="0" w:name="_GoBack"/>
      <w:bookmarkEnd w:id="0"/>
      <w:r>
        <w:rPr>
          <w:rFonts w:hint="eastAsia" w:ascii="微软雅黑" w:hAnsi="微软雅黑" w:eastAsia="微软雅黑" w:cs="Arial"/>
          <w:color w:val="000000"/>
          <w:kern w:val="0"/>
          <w:sz w:val="24"/>
          <w:szCs w:val="24"/>
        </w:rPr>
        <w:t>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u w:val="single"/>
        </w:rPr>
        <w:t xml:space="preserve"> </w:t>
      </w:r>
      <w:r>
        <w:rPr>
          <w:rFonts w:hint="eastAsia" w:ascii="宋体" w:hAnsi="宋体"/>
          <w:bCs/>
          <w:sz w:val="20"/>
          <w:szCs w:val="24"/>
          <w:u w:val="single"/>
        </w:rPr>
        <w:t>重庆统一茶渣安全处置服务</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3118"/>
        <w:gridCol w:w="567"/>
        <w:gridCol w:w="426"/>
        <w:gridCol w:w="1559"/>
        <w:gridCol w:w="709"/>
        <w:gridCol w:w="425"/>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8472"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119"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6379" w:type="dxa"/>
            <w:gridSpan w:val="5"/>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685" w:type="dxa"/>
            <w:gridSpan w:val="2"/>
            <w:vAlign w:val="center"/>
          </w:tcPr>
          <w:p>
            <w:pPr>
              <w:jc w:val="center"/>
              <w:rPr>
                <w:bCs/>
                <w:sz w:val="18"/>
                <w:szCs w:val="18"/>
              </w:rPr>
            </w:pPr>
          </w:p>
        </w:tc>
        <w:tc>
          <w:tcPr>
            <w:tcW w:w="2694"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119"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685" w:type="dxa"/>
            <w:gridSpan w:val="2"/>
            <w:vAlign w:val="center"/>
          </w:tcPr>
          <w:p>
            <w:pPr>
              <w:jc w:val="center"/>
              <w:rPr>
                <w:bCs/>
                <w:sz w:val="18"/>
                <w:szCs w:val="18"/>
              </w:rPr>
            </w:pPr>
          </w:p>
        </w:tc>
        <w:tc>
          <w:tcPr>
            <w:tcW w:w="2694" w:type="dxa"/>
            <w:gridSpan w:val="3"/>
            <w:vMerge w:val="restart"/>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591"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380"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continue"/>
            <w:shd w:val="clear" w:color="auto" w:fill="D8D8D8" w:themeFill="background1" w:themeFillShade="D9"/>
            <w:vAlign w:val="center"/>
          </w:tcPr>
          <w:p>
            <w:pPr>
              <w:jc w:val="center"/>
              <w:rPr>
                <w:bCs/>
                <w:sz w:val="18"/>
                <w:szCs w:val="18"/>
              </w:rPr>
            </w:pPr>
          </w:p>
        </w:tc>
        <w:tc>
          <w:tcPr>
            <w:tcW w:w="993"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693"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169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营业执照复印件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restart"/>
            <w:vAlign w:val="center"/>
          </w:tcPr>
          <w:p>
            <w:pPr>
              <w:jc w:val="left"/>
              <w:rPr>
                <w:bCs/>
                <w:sz w:val="18"/>
                <w:szCs w:val="18"/>
              </w:rPr>
            </w:pPr>
            <w:r>
              <w:rPr>
                <w:bCs/>
                <w:sz w:val="18"/>
                <w:szCs w:val="18"/>
              </w:rPr>
              <w:t>营业范围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开户许可证复印件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注册资本</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法人身份证复印件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受托人身份证复印件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受托人劳动合同复印件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授权委托书原件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执业时间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办公地点产权证明资料</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center"/>
              <w:rPr>
                <w:bCs/>
                <w:sz w:val="18"/>
                <w:szCs w:val="18"/>
              </w:rPr>
            </w:pPr>
          </w:p>
        </w:tc>
        <w:tc>
          <w:tcPr>
            <w:tcW w:w="2693" w:type="dxa"/>
            <w:gridSpan w:val="3"/>
            <w:vMerge w:val="continue"/>
            <w:vAlign w:val="center"/>
          </w:tcPr>
          <w:p>
            <w:pPr>
              <w:jc w:val="center"/>
              <w:rPr>
                <w:bCs/>
                <w:sz w:val="18"/>
                <w:szCs w:val="18"/>
              </w:rPr>
            </w:pPr>
          </w:p>
        </w:tc>
        <w:tc>
          <w:tcPr>
            <w:tcW w:w="169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093" w:type="dxa"/>
            <w:gridSpan w:val="2"/>
            <w:vAlign w:val="center"/>
          </w:tcPr>
          <w:p>
            <w:pPr>
              <w:rPr>
                <w:bCs/>
                <w:sz w:val="18"/>
                <w:szCs w:val="18"/>
              </w:rPr>
            </w:pPr>
            <w:r>
              <w:rPr>
                <w:rFonts w:hint="eastAsia"/>
                <w:bCs/>
                <w:sz w:val="18"/>
                <w:szCs w:val="18"/>
              </w:rPr>
              <w:t>是否竞品控股、参股、转投资</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rPr>
                <w:bCs/>
                <w:sz w:val="18"/>
                <w:szCs w:val="18"/>
              </w:rPr>
            </w:pPr>
            <w:r>
              <w:rPr>
                <w:rFonts w:hint="eastAsia"/>
                <w:bCs/>
                <w:sz w:val="18"/>
                <w:szCs w:val="18"/>
              </w:rPr>
              <w:t>是否违反公司阳光条款</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093" w:type="dxa"/>
            <w:gridSpan w:val="2"/>
            <w:vAlign w:val="center"/>
          </w:tcPr>
          <w:p>
            <w:pPr>
              <w:rPr>
                <w:bCs/>
                <w:sz w:val="18"/>
                <w:szCs w:val="18"/>
              </w:rPr>
            </w:pPr>
            <w:r>
              <w:rPr>
                <w:rFonts w:hint="eastAsia"/>
                <w:bCs/>
                <w:sz w:val="18"/>
                <w:szCs w:val="18"/>
              </w:rPr>
              <w:t>是否发生重大安全事故、重大质量事故</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rPr>
                <w:bCs/>
                <w:sz w:val="18"/>
                <w:szCs w:val="18"/>
              </w:rPr>
            </w:pPr>
            <w:r>
              <w:rPr>
                <w:rFonts w:hint="eastAsia"/>
                <w:bCs/>
                <w:sz w:val="18"/>
                <w:szCs w:val="18"/>
              </w:rPr>
              <w:t>是否不合作服务商清单内服务商或股权关联企业</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2093" w:type="dxa"/>
            <w:gridSpan w:val="2"/>
            <w:vAlign w:val="center"/>
          </w:tcPr>
          <w:p>
            <w:pPr>
              <w:rPr>
                <w:bCs/>
                <w:sz w:val="18"/>
                <w:szCs w:val="18"/>
              </w:rPr>
            </w:pPr>
            <w:r>
              <w:rPr>
                <w:rFonts w:hint="eastAsia"/>
                <w:bCs/>
                <w:sz w:val="18"/>
                <w:szCs w:val="18"/>
              </w:rPr>
              <w:t>审核结果</w:t>
            </w:r>
          </w:p>
        </w:tc>
        <w:tc>
          <w:tcPr>
            <w:tcW w:w="3118" w:type="dxa"/>
            <w:vAlign w:val="center"/>
          </w:tcPr>
          <w:p>
            <w:pPr>
              <w:jc w:val="center"/>
              <w:rPr>
                <w:bCs/>
                <w:sz w:val="18"/>
                <w:szCs w:val="18"/>
              </w:rPr>
            </w:pPr>
            <w:r>
              <w:rPr>
                <w:rFonts w:hint="eastAsia"/>
                <w:bCs/>
                <w:sz w:val="18"/>
                <w:szCs w:val="18"/>
              </w:rPr>
              <w:t>□合格       □不合格</w:t>
            </w:r>
          </w:p>
        </w:tc>
        <w:tc>
          <w:tcPr>
            <w:tcW w:w="993" w:type="dxa"/>
            <w:gridSpan w:val="2"/>
            <w:vAlign w:val="center"/>
          </w:tcPr>
          <w:p>
            <w:pPr>
              <w:jc w:val="center"/>
              <w:rPr>
                <w:bCs/>
                <w:sz w:val="18"/>
                <w:szCs w:val="18"/>
              </w:rPr>
            </w:pPr>
            <w:r>
              <w:rPr>
                <w:bCs/>
                <w:sz w:val="18"/>
                <w:szCs w:val="18"/>
              </w:rPr>
              <w:t>审核人员</w:t>
            </w:r>
          </w:p>
        </w:tc>
        <w:tc>
          <w:tcPr>
            <w:tcW w:w="4387"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不合格说明</w:t>
            </w:r>
          </w:p>
        </w:tc>
        <w:tc>
          <w:tcPr>
            <w:tcW w:w="8498" w:type="dxa"/>
            <w:gridSpan w:val="7"/>
            <w:vAlign w:val="center"/>
          </w:tcPr>
          <w:p>
            <w:pPr>
              <w:jc w:val="center"/>
              <w:rPr>
                <w:bCs/>
                <w:sz w:val="18"/>
                <w:szCs w:val="18"/>
              </w:rPr>
            </w:pPr>
          </w:p>
        </w:tc>
      </w:tr>
    </w:tbl>
    <w:p>
      <w:pPr>
        <w:jc w:val="left"/>
        <w:rPr>
          <w:bCs/>
          <w:sz w:val="18"/>
          <w:szCs w:val="18"/>
        </w:rPr>
      </w:pPr>
      <w:r>
        <w:rPr>
          <w:rFonts w:hint="eastAsia"/>
          <w:bCs/>
          <w:sz w:val="18"/>
          <w:szCs w:val="18"/>
        </w:rPr>
        <w:t>备注：以上信息，除统一公司填写栏外，需填写完整，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重庆统一企业有限公司茶渣安全处置服务项目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重庆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PMingLiU-ExtB"/>
    <w:panose1 w:val="02020500000000000000"/>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rPr>
        <w:sz w:val="10"/>
      </w:rPr>
    </w:pPr>
    <w:r>
      <w:rPr>
        <w:rFonts w:hint="eastAsia"/>
        <w:sz w:val="28"/>
      </w:rPr>
      <w:t>编号：年+月+序号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7D74"/>
    <w:rsid w:val="00104598"/>
    <w:rsid w:val="00105415"/>
    <w:rsid w:val="00106B05"/>
    <w:rsid w:val="00120DCE"/>
    <w:rsid w:val="00120EA5"/>
    <w:rsid w:val="001211E1"/>
    <w:rsid w:val="00122579"/>
    <w:rsid w:val="00126EF2"/>
    <w:rsid w:val="00127CAC"/>
    <w:rsid w:val="00130E9B"/>
    <w:rsid w:val="00131034"/>
    <w:rsid w:val="00132850"/>
    <w:rsid w:val="0013642C"/>
    <w:rsid w:val="00136556"/>
    <w:rsid w:val="00136D23"/>
    <w:rsid w:val="00136FCF"/>
    <w:rsid w:val="00142D16"/>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1EC2"/>
    <w:rsid w:val="001C654D"/>
    <w:rsid w:val="001D2CFE"/>
    <w:rsid w:val="001D3D9D"/>
    <w:rsid w:val="001D51C5"/>
    <w:rsid w:val="001D742D"/>
    <w:rsid w:val="001E07F6"/>
    <w:rsid w:val="001E3321"/>
    <w:rsid w:val="001E4E1D"/>
    <w:rsid w:val="001E5111"/>
    <w:rsid w:val="001F370E"/>
    <w:rsid w:val="00201D5B"/>
    <w:rsid w:val="00201F7C"/>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67045"/>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12CC"/>
    <w:rsid w:val="002A5947"/>
    <w:rsid w:val="002A5BA1"/>
    <w:rsid w:val="002A5BBB"/>
    <w:rsid w:val="002A7A51"/>
    <w:rsid w:val="002B1522"/>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58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46B9"/>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65FC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7D"/>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176FB"/>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E78DE"/>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86A"/>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3C98"/>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2C96"/>
    <w:rsid w:val="00A3513C"/>
    <w:rsid w:val="00A368AE"/>
    <w:rsid w:val="00A37072"/>
    <w:rsid w:val="00A37C65"/>
    <w:rsid w:val="00A414A4"/>
    <w:rsid w:val="00A42813"/>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3750"/>
    <w:rsid w:val="00AC5F60"/>
    <w:rsid w:val="00AC7424"/>
    <w:rsid w:val="00AD2ED8"/>
    <w:rsid w:val="00AD3A28"/>
    <w:rsid w:val="00AD455B"/>
    <w:rsid w:val="00AD5D29"/>
    <w:rsid w:val="00AD6FE3"/>
    <w:rsid w:val="00AD7DD6"/>
    <w:rsid w:val="00AD7E9E"/>
    <w:rsid w:val="00AE1330"/>
    <w:rsid w:val="00AE2F34"/>
    <w:rsid w:val="00AF0DA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10A9"/>
    <w:rsid w:val="00C62F09"/>
    <w:rsid w:val="00C64220"/>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258AB"/>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C7C8D"/>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258"/>
    <w:rsid w:val="00FF4D41"/>
    <w:rsid w:val="5B044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basedOn w:val="14"/>
    <w:qFormat/>
    <w:uiPriority w:val="0"/>
    <w:rPr>
      <w:color w:val="333333"/>
      <w:u w:val="none"/>
    </w:rPr>
  </w:style>
  <w:style w:type="character" w:styleId="17">
    <w:name w:val="annotation reference"/>
    <w:basedOn w:val="14"/>
    <w:semiHidden/>
    <w:unhideWhenUsed/>
    <w:qFormat/>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Char"/>
    <w:basedOn w:val="14"/>
    <w:link w:val="3"/>
    <w:semiHidden/>
    <w:qFormat/>
    <w:uiPriority w:val="0"/>
    <w:rPr>
      <w:kern w:val="2"/>
      <w:sz w:val="21"/>
    </w:rPr>
  </w:style>
  <w:style w:type="character" w:customStyle="1" w:styleId="20">
    <w:name w:val="批注主题 Char"/>
    <w:basedOn w:val="19"/>
    <w:link w:val="12"/>
    <w:semiHidden/>
    <w:qFormat/>
    <w:uiPriority w:val="0"/>
    <w:rPr>
      <w:b/>
      <w:bCs/>
    </w:rPr>
  </w:style>
  <w:style w:type="character" w:customStyle="1" w:styleId="21">
    <w:name w:val="awspan1"/>
    <w:basedOn w:val="14"/>
    <w:qFormat/>
    <w:uiPriority w:val="0"/>
    <w:rPr>
      <w:color w:val="000000"/>
      <w:sz w:val="24"/>
      <w:szCs w:val="24"/>
    </w:rPr>
  </w:style>
  <w:style w:type="character" w:customStyle="1" w:styleId="22">
    <w:name w:val="页脚 Char"/>
    <w:basedOn w:val="14"/>
    <w:link w:val="8"/>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标准书模板.dot</Template>
  <Company>Kunshan Research Institute,PEC</Company>
  <Pages>1</Pages>
  <Words>299</Words>
  <Characters>1710</Characters>
  <Lines>14</Lines>
  <Paragraphs>4</Paragraphs>
  <TotalTime>49</TotalTime>
  <ScaleCrop>false</ScaleCrop>
  <LinksUpToDate>false</LinksUpToDate>
  <CharactersWithSpaces>2005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2020-12-01T01:01:00Z</dcterms:created>
  <dc:creator>grdpec</dc:creator>
  <cp:keywords>标准</cp:keywords>
  <cp:lastModifiedBy>维维</cp:lastModifiedBy>
  <cp:lastPrinted>2017-11-14T01:02:00Z</cp:lastPrinted>
  <dcterms:modified xsi:type="dcterms:W3CDTF">2020-12-17T08:18:08Z</dcterms:modified>
  <dc:subject>昆山研究所标准书模板</dc:subject>
  <dc:title>stdbook</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